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5B975">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eastAsia" w:ascii="宋体" w:hAnsi="宋体" w:eastAsia="宋体" w:cs="Times New Roman"/>
          <w:kern w:val="2"/>
          <w:sz w:val="72"/>
          <w:szCs w:val="144"/>
          <w:lang w:val="en-US" w:eastAsia="zh-CN" w:bidi="ar-SA"/>
        </w:rPr>
      </w:pPr>
      <w:bookmarkStart w:id="0" w:name="_Toc576705043"/>
      <w:bookmarkStart w:id="1" w:name="_Toc210277546"/>
      <w:bookmarkStart w:id="2" w:name="_Toc224705849"/>
      <w:bookmarkStart w:id="3" w:name="_Toc224702939"/>
    </w:p>
    <w:p w14:paraId="17713839">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eastAsia" w:ascii="宋体" w:hAnsi="宋体" w:eastAsia="宋体" w:cs="Times New Roman"/>
          <w:kern w:val="2"/>
          <w:sz w:val="72"/>
          <w:szCs w:val="144"/>
          <w:lang w:val="en-US" w:eastAsia="zh-CN" w:bidi="ar-SA"/>
        </w:rPr>
      </w:pPr>
    </w:p>
    <w:p w14:paraId="40D0FE1B">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eastAsia" w:ascii="宋体" w:hAnsi="宋体" w:eastAsia="宋体" w:cs="Times New Roman"/>
          <w:kern w:val="2"/>
          <w:sz w:val="72"/>
          <w:szCs w:val="144"/>
          <w:lang w:val="en-US" w:eastAsia="zh-CN" w:bidi="ar-SA"/>
        </w:rPr>
      </w:pPr>
    </w:p>
    <w:p w14:paraId="5345EDC9">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eastAsia" w:ascii="宋体" w:hAnsi="宋体" w:eastAsia="宋体" w:cs="Times New Roman"/>
          <w:kern w:val="2"/>
          <w:sz w:val="72"/>
          <w:szCs w:val="144"/>
          <w:lang w:val="en-US" w:eastAsia="zh-CN" w:bidi="ar-SA"/>
        </w:rPr>
      </w:pPr>
    </w:p>
    <w:p w14:paraId="65985AEC">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r>
        <w:rPr>
          <w:rFonts w:hint="eastAsia" w:ascii="宋体" w:hAnsi="宋体" w:eastAsia="宋体" w:cs="Times New Roman"/>
          <w:kern w:val="2"/>
          <w:sz w:val="72"/>
          <w:szCs w:val="144"/>
          <w:lang w:val="en-US" w:eastAsia="zh-CN" w:bidi="ar-SA"/>
        </w:rPr>
        <w:t>承运商KPI考核管理办法</w:t>
      </w:r>
    </w:p>
    <w:p w14:paraId="6BC87052">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6648BBA2">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222C1DC1">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718E1491">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15727C15">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754458F7">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27B41A10">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1C345240">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5DFCEE39">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410D5D2C">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79A8D5DB">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76728706">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6E6BDA30">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35C27488">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6ADC805A">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both"/>
        <w:textAlignment w:val="auto"/>
        <w:rPr>
          <w:rFonts w:ascii="宋体" w:hAnsi="宋体" w:eastAsia="宋体" w:cs="Times New Roman"/>
          <w:kern w:val="2"/>
          <w:sz w:val="21"/>
          <w:szCs w:val="24"/>
          <w:lang w:val="en-US" w:eastAsia="zh-CN" w:bidi="ar-SA"/>
        </w:rPr>
      </w:pPr>
    </w:p>
    <w:sdt>
      <w:sdtPr>
        <w:rPr>
          <w:rFonts w:ascii="宋体" w:hAnsi="宋体" w:eastAsia="宋体" w:cs="Times New Roman"/>
          <w:kern w:val="2"/>
          <w:sz w:val="21"/>
          <w:szCs w:val="24"/>
          <w:lang w:val="en-US" w:eastAsia="zh-CN" w:bidi="ar-SA"/>
        </w:rPr>
        <w:id w:val="199138990"/>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4B91EEE7">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sz w:val="28"/>
              <w:szCs w:val="36"/>
            </w:rPr>
          </w:pPr>
          <w:r>
            <w:rPr>
              <w:rFonts w:ascii="宋体" w:hAnsi="宋体" w:eastAsia="宋体"/>
              <w:spacing w:val="0"/>
              <w:kern w:val="0"/>
              <w:sz w:val="28"/>
              <w:szCs w:val="36"/>
              <w:fitText w:val="560" w:id="2145353827"/>
            </w:rPr>
            <w:t>目录</w:t>
          </w:r>
        </w:p>
        <w:p w14:paraId="4CF0ED4A">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TOC \o "1-3" \h \u </w:instrText>
          </w:r>
          <w:r>
            <w:rPr>
              <w:sz w:val="28"/>
              <w:szCs w:val="36"/>
            </w:rPr>
            <w:fldChar w:fldCharType="separate"/>
          </w:r>
          <w:r>
            <w:rPr>
              <w:sz w:val="28"/>
              <w:szCs w:val="36"/>
            </w:rPr>
            <w:fldChar w:fldCharType="begin"/>
          </w:r>
          <w:r>
            <w:rPr>
              <w:sz w:val="28"/>
              <w:szCs w:val="36"/>
            </w:rPr>
            <w:instrText xml:space="preserve"> HYPERLINK \l _Toc1974054495 </w:instrText>
          </w:r>
          <w:r>
            <w:rPr>
              <w:sz w:val="28"/>
              <w:szCs w:val="36"/>
            </w:rPr>
            <w:fldChar w:fldCharType="separate"/>
          </w:r>
          <w:r>
            <w:rPr>
              <w:rFonts w:hint="default" w:ascii="宋体" w:hAnsi="宋体" w:eastAsia="宋体" w:cs="宋体"/>
              <w:sz w:val="28"/>
              <w:szCs w:val="40"/>
            </w:rPr>
            <w:t xml:space="preserve">1． </w:t>
          </w:r>
          <w:r>
            <w:rPr>
              <w:rFonts w:hint="eastAsia" w:ascii="宋体" w:hAnsi="宋体" w:eastAsia="宋体" w:cs="宋体"/>
              <w:sz w:val="28"/>
              <w:szCs w:val="40"/>
            </w:rPr>
            <w:t>目的</w:t>
          </w:r>
          <w:r>
            <w:rPr>
              <w:sz w:val="28"/>
              <w:szCs w:val="36"/>
            </w:rPr>
            <w:tab/>
          </w:r>
          <w:r>
            <w:rPr>
              <w:sz w:val="28"/>
              <w:szCs w:val="36"/>
            </w:rPr>
            <w:fldChar w:fldCharType="begin"/>
          </w:r>
          <w:r>
            <w:rPr>
              <w:sz w:val="28"/>
              <w:szCs w:val="36"/>
            </w:rPr>
            <w:instrText xml:space="preserve"> PAGEREF _Toc1974054495 \h </w:instrText>
          </w:r>
          <w:r>
            <w:rPr>
              <w:sz w:val="28"/>
              <w:szCs w:val="36"/>
            </w:rPr>
            <w:fldChar w:fldCharType="separate"/>
          </w:r>
          <w:r>
            <w:rPr>
              <w:sz w:val="28"/>
              <w:szCs w:val="36"/>
            </w:rPr>
            <w:t>3</w:t>
          </w:r>
          <w:r>
            <w:rPr>
              <w:sz w:val="28"/>
              <w:szCs w:val="36"/>
            </w:rPr>
            <w:fldChar w:fldCharType="end"/>
          </w:r>
          <w:r>
            <w:rPr>
              <w:sz w:val="28"/>
              <w:szCs w:val="36"/>
            </w:rPr>
            <w:fldChar w:fldCharType="end"/>
          </w:r>
        </w:p>
        <w:p w14:paraId="582F5BF8">
          <w:pPr>
            <w:pStyle w:val="7"/>
            <w:keepNext w:val="0"/>
            <w:keepLines w:val="0"/>
            <w:pageBreakBefore w:val="0"/>
            <w:widowControl w:val="0"/>
            <w:tabs>
              <w:tab w:val="right" w:leader="dot" w:pos="10080"/>
            </w:tabs>
            <w:kinsoku/>
            <w:wordWrap/>
            <w:overflowPunct/>
            <w:topLinePunct w:val="0"/>
            <w:autoSpaceDE/>
            <w:autoSpaceDN/>
            <w:bidi w:val="0"/>
            <w:adjustRightInd/>
            <w:snapToGrid/>
            <w:spacing w:line="720" w:lineRule="auto"/>
            <w:textAlignment w:val="auto"/>
            <w:rPr>
              <w:sz w:val="28"/>
              <w:szCs w:val="36"/>
            </w:rPr>
          </w:pPr>
          <w:r>
            <w:rPr>
              <w:sz w:val="28"/>
              <w:szCs w:val="36"/>
            </w:rPr>
            <w:fldChar w:fldCharType="begin"/>
          </w:r>
          <w:r>
            <w:rPr>
              <w:sz w:val="28"/>
              <w:szCs w:val="36"/>
            </w:rPr>
            <w:instrText xml:space="preserve"> HYPERLINK \l _Toc1459034962 </w:instrText>
          </w:r>
          <w:r>
            <w:rPr>
              <w:sz w:val="28"/>
              <w:szCs w:val="36"/>
            </w:rPr>
            <w:fldChar w:fldCharType="separate"/>
          </w:r>
          <w:r>
            <w:rPr>
              <w:rFonts w:hint="default" w:ascii="宋体" w:hAnsi="宋体" w:eastAsia="宋体" w:cs="宋体"/>
              <w:sz w:val="28"/>
              <w:szCs w:val="40"/>
            </w:rPr>
            <w:t xml:space="preserve">2． </w:t>
          </w:r>
          <w:r>
            <w:rPr>
              <w:rFonts w:hint="eastAsia" w:ascii="宋体" w:hAnsi="宋体" w:eastAsia="宋体" w:cs="宋体"/>
              <w:sz w:val="28"/>
              <w:szCs w:val="40"/>
            </w:rPr>
            <w:t>范围</w:t>
          </w:r>
          <w:r>
            <w:rPr>
              <w:sz w:val="28"/>
              <w:szCs w:val="36"/>
            </w:rPr>
            <w:tab/>
          </w:r>
          <w:r>
            <w:rPr>
              <w:sz w:val="28"/>
              <w:szCs w:val="36"/>
            </w:rPr>
            <w:fldChar w:fldCharType="begin"/>
          </w:r>
          <w:r>
            <w:rPr>
              <w:sz w:val="28"/>
              <w:szCs w:val="36"/>
            </w:rPr>
            <w:instrText xml:space="preserve"> PAGEREF _Toc1459034962 \h </w:instrText>
          </w:r>
          <w:r>
            <w:rPr>
              <w:sz w:val="28"/>
              <w:szCs w:val="36"/>
            </w:rPr>
            <w:fldChar w:fldCharType="separate"/>
          </w:r>
          <w:r>
            <w:rPr>
              <w:sz w:val="28"/>
              <w:szCs w:val="36"/>
            </w:rPr>
            <w:t>3</w:t>
          </w:r>
          <w:r>
            <w:rPr>
              <w:sz w:val="28"/>
              <w:szCs w:val="36"/>
            </w:rPr>
            <w:fldChar w:fldCharType="end"/>
          </w:r>
          <w:r>
            <w:rPr>
              <w:sz w:val="28"/>
              <w:szCs w:val="36"/>
            </w:rPr>
            <w:fldChar w:fldCharType="end"/>
          </w:r>
        </w:p>
        <w:p w14:paraId="3BF86018">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_Toc2032324888 </w:instrText>
          </w:r>
          <w:r>
            <w:rPr>
              <w:sz w:val="28"/>
              <w:szCs w:val="36"/>
            </w:rPr>
            <w:fldChar w:fldCharType="separate"/>
          </w:r>
          <w:r>
            <w:rPr>
              <w:rFonts w:hint="default" w:ascii="宋体" w:hAnsi="宋体" w:eastAsia="宋体" w:cs="宋体"/>
              <w:sz w:val="28"/>
              <w:szCs w:val="40"/>
            </w:rPr>
            <w:t xml:space="preserve">3． </w:t>
          </w:r>
          <w:r>
            <w:rPr>
              <w:rFonts w:hint="eastAsia" w:ascii="宋体" w:hAnsi="宋体" w:eastAsia="宋体" w:cs="宋体"/>
              <w:sz w:val="28"/>
              <w:szCs w:val="40"/>
            </w:rPr>
            <w:t>定义</w:t>
          </w:r>
          <w:r>
            <w:rPr>
              <w:sz w:val="28"/>
              <w:szCs w:val="36"/>
            </w:rPr>
            <w:tab/>
          </w:r>
          <w:r>
            <w:rPr>
              <w:sz w:val="28"/>
              <w:szCs w:val="36"/>
            </w:rPr>
            <w:fldChar w:fldCharType="begin"/>
          </w:r>
          <w:r>
            <w:rPr>
              <w:sz w:val="28"/>
              <w:szCs w:val="36"/>
            </w:rPr>
            <w:instrText xml:space="preserve"> PAGEREF _Toc2032324888 \h </w:instrText>
          </w:r>
          <w:r>
            <w:rPr>
              <w:sz w:val="28"/>
              <w:szCs w:val="36"/>
            </w:rPr>
            <w:fldChar w:fldCharType="separate"/>
          </w:r>
          <w:r>
            <w:rPr>
              <w:sz w:val="28"/>
              <w:szCs w:val="36"/>
            </w:rPr>
            <w:t>3</w:t>
          </w:r>
          <w:r>
            <w:rPr>
              <w:sz w:val="28"/>
              <w:szCs w:val="36"/>
            </w:rPr>
            <w:fldChar w:fldCharType="end"/>
          </w:r>
          <w:r>
            <w:rPr>
              <w:sz w:val="28"/>
              <w:szCs w:val="36"/>
            </w:rPr>
            <w:fldChar w:fldCharType="end"/>
          </w:r>
        </w:p>
        <w:p w14:paraId="56C899EF">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_Toc1556987081 </w:instrText>
          </w:r>
          <w:r>
            <w:rPr>
              <w:sz w:val="28"/>
              <w:szCs w:val="36"/>
            </w:rPr>
            <w:fldChar w:fldCharType="separate"/>
          </w:r>
          <w:r>
            <w:rPr>
              <w:rFonts w:hint="default" w:ascii="宋体" w:hAnsi="宋体" w:eastAsia="宋体" w:cs="宋体"/>
              <w:sz w:val="28"/>
              <w:szCs w:val="40"/>
            </w:rPr>
            <w:t xml:space="preserve">4． </w:t>
          </w:r>
          <w:r>
            <w:rPr>
              <w:rFonts w:hint="eastAsia" w:ascii="宋体" w:hAnsi="宋体" w:eastAsia="宋体" w:cs="宋体"/>
              <w:sz w:val="28"/>
              <w:szCs w:val="40"/>
            </w:rPr>
            <w:t>职责</w:t>
          </w:r>
          <w:r>
            <w:rPr>
              <w:sz w:val="28"/>
              <w:szCs w:val="36"/>
            </w:rPr>
            <w:tab/>
          </w:r>
          <w:r>
            <w:rPr>
              <w:sz w:val="28"/>
              <w:szCs w:val="36"/>
            </w:rPr>
            <w:fldChar w:fldCharType="begin"/>
          </w:r>
          <w:r>
            <w:rPr>
              <w:sz w:val="28"/>
              <w:szCs w:val="36"/>
            </w:rPr>
            <w:instrText xml:space="preserve"> PAGEREF _Toc1556987081 \h </w:instrText>
          </w:r>
          <w:r>
            <w:rPr>
              <w:sz w:val="28"/>
              <w:szCs w:val="36"/>
            </w:rPr>
            <w:fldChar w:fldCharType="separate"/>
          </w:r>
          <w:r>
            <w:rPr>
              <w:sz w:val="28"/>
              <w:szCs w:val="36"/>
            </w:rPr>
            <w:t>3</w:t>
          </w:r>
          <w:r>
            <w:rPr>
              <w:sz w:val="28"/>
              <w:szCs w:val="36"/>
            </w:rPr>
            <w:fldChar w:fldCharType="end"/>
          </w:r>
          <w:r>
            <w:rPr>
              <w:sz w:val="28"/>
              <w:szCs w:val="36"/>
            </w:rPr>
            <w:fldChar w:fldCharType="end"/>
          </w:r>
        </w:p>
        <w:p w14:paraId="64F96201">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_Toc1722764677 </w:instrText>
          </w:r>
          <w:r>
            <w:rPr>
              <w:sz w:val="28"/>
              <w:szCs w:val="36"/>
            </w:rPr>
            <w:fldChar w:fldCharType="separate"/>
          </w:r>
          <w:r>
            <w:rPr>
              <w:rFonts w:hint="default" w:ascii="宋体" w:hAnsi="宋体" w:eastAsia="宋体" w:cs="宋体"/>
              <w:sz w:val="28"/>
              <w:szCs w:val="40"/>
              <w:lang w:val="en-US" w:eastAsia="zh-Hans"/>
            </w:rPr>
            <w:t xml:space="preserve">5． </w:t>
          </w:r>
          <w:r>
            <w:rPr>
              <w:rFonts w:hint="eastAsia" w:ascii="宋体" w:hAnsi="宋体" w:eastAsia="宋体" w:cs="宋体"/>
              <w:sz w:val="28"/>
              <w:szCs w:val="40"/>
              <w:lang w:val="en-US" w:eastAsia="zh-Hans"/>
            </w:rPr>
            <w:t>正文</w:t>
          </w:r>
          <w:r>
            <w:rPr>
              <w:sz w:val="28"/>
              <w:szCs w:val="36"/>
            </w:rPr>
            <w:tab/>
          </w:r>
          <w:r>
            <w:rPr>
              <w:sz w:val="28"/>
              <w:szCs w:val="36"/>
            </w:rPr>
            <w:fldChar w:fldCharType="begin"/>
          </w:r>
          <w:r>
            <w:rPr>
              <w:sz w:val="28"/>
              <w:szCs w:val="36"/>
            </w:rPr>
            <w:instrText xml:space="preserve"> PAGEREF _Toc1722764677 \h </w:instrText>
          </w:r>
          <w:r>
            <w:rPr>
              <w:sz w:val="28"/>
              <w:szCs w:val="36"/>
            </w:rPr>
            <w:fldChar w:fldCharType="separate"/>
          </w:r>
          <w:r>
            <w:rPr>
              <w:sz w:val="28"/>
              <w:szCs w:val="36"/>
            </w:rPr>
            <w:t>4</w:t>
          </w:r>
          <w:r>
            <w:rPr>
              <w:sz w:val="28"/>
              <w:szCs w:val="36"/>
            </w:rPr>
            <w:fldChar w:fldCharType="end"/>
          </w:r>
          <w:r>
            <w:rPr>
              <w:sz w:val="28"/>
              <w:szCs w:val="36"/>
            </w:rPr>
            <w:fldChar w:fldCharType="end"/>
          </w:r>
        </w:p>
        <w:p w14:paraId="2D9AED99">
          <w:pPr>
            <w:pStyle w:val="8"/>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_Toc2131397485 </w:instrText>
          </w:r>
          <w:r>
            <w:rPr>
              <w:sz w:val="28"/>
              <w:szCs w:val="36"/>
            </w:rPr>
            <w:fldChar w:fldCharType="separate"/>
          </w:r>
          <w:r>
            <w:rPr>
              <w:rFonts w:hint="eastAsia" w:ascii="宋体" w:hAnsi="宋体" w:eastAsia="宋体" w:cs="宋体"/>
              <w:sz w:val="28"/>
              <w:szCs w:val="40"/>
            </w:rPr>
            <w:t>5</w:t>
          </w:r>
          <w:r>
            <w:rPr>
              <w:rFonts w:hint="eastAsia" w:ascii="宋体" w:hAnsi="宋体" w:eastAsia="宋体" w:cs="宋体"/>
              <w:sz w:val="28"/>
              <w:szCs w:val="40"/>
              <w:lang w:val="en-US" w:eastAsia="zh-Hans"/>
            </w:rPr>
            <w:t>.</w:t>
          </w:r>
          <w:r>
            <w:rPr>
              <w:rFonts w:hint="eastAsia" w:ascii="宋体" w:hAnsi="宋体" w:eastAsia="宋体" w:cs="宋体"/>
              <w:sz w:val="28"/>
              <w:szCs w:val="40"/>
              <w:lang w:eastAsia="zh-Hans"/>
            </w:rPr>
            <w:t>1</w:t>
          </w:r>
          <w:r>
            <w:rPr>
              <w:rFonts w:hint="eastAsia" w:ascii="宋体" w:hAnsi="宋体" w:eastAsia="宋体" w:cs="宋体"/>
              <w:sz w:val="28"/>
              <w:szCs w:val="40"/>
            </w:rPr>
            <w:t>承运商KPI考核原则：</w:t>
          </w:r>
          <w:r>
            <w:rPr>
              <w:sz w:val="28"/>
              <w:szCs w:val="36"/>
            </w:rPr>
            <w:tab/>
          </w:r>
          <w:r>
            <w:rPr>
              <w:sz w:val="28"/>
              <w:szCs w:val="36"/>
            </w:rPr>
            <w:fldChar w:fldCharType="begin"/>
          </w:r>
          <w:r>
            <w:rPr>
              <w:sz w:val="28"/>
              <w:szCs w:val="36"/>
            </w:rPr>
            <w:instrText xml:space="preserve"> PAGEREF _Toc2131397485 \h </w:instrText>
          </w:r>
          <w:r>
            <w:rPr>
              <w:sz w:val="28"/>
              <w:szCs w:val="36"/>
            </w:rPr>
            <w:fldChar w:fldCharType="separate"/>
          </w:r>
          <w:r>
            <w:rPr>
              <w:sz w:val="28"/>
              <w:szCs w:val="36"/>
            </w:rPr>
            <w:t>4</w:t>
          </w:r>
          <w:r>
            <w:rPr>
              <w:sz w:val="28"/>
              <w:szCs w:val="36"/>
            </w:rPr>
            <w:fldChar w:fldCharType="end"/>
          </w:r>
          <w:r>
            <w:rPr>
              <w:sz w:val="28"/>
              <w:szCs w:val="36"/>
            </w:rPr>
            <w:fldChar w:fldCharType="end"/>
          </w:r>
        </w:p>
        <w:p w14:paraId="657F2C93">
          <w:pPr>
            <w:pStyle w:val="8"/>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_Toc222814788 </w:instrText>
          </w:r>
          <w:r>
            <w:rPr>
              <w:sz w:val="28"/>
              <w:szCs w:val="36"/>
            </w:rPr>
            <w:fldChar w:fldCharType="separate"/>
          </w:r>
          <w:r>
            <w:rPr>
              <w:rFonts w:hint="eastAsia" w:ascii="宋体" w:hAnsi="宋体" w:eastAsia="宋体" w:cs="宋体"/>
              <w:sz w:val="28"/>
              <w:szCs w:val="40"/>
            </w:rPr>
            <w:t>5.2货物发货阶段考核指标详解</w:t>
          </w:r>
          <w:r>
            <w:rPr>
              <w:sz w:val="28"/>
              <w:szCs w:val="36"/>
            </w:rPr>
            <w:tab/>
          </w:r>
          <w:r>
            <w:rPr>
              <w:sz w:val="28"/>
              <w:szCs w:val="36"/>
            </w:rPr>
            <w:fldChar w:fldCharType="begin"/>
          </w:r>
          <w:r>
            <w:rPr>
              <w:sz w:val="28"/>
              <w:szCs w:val="36"/>
            </w:rPr>
            <w:instrText xml:space="preserve"> PAGEREF _Toc222814788 \h </w:instrText>
          </w:r>
          <w:r>
            <w:rPr>
              <w:sz w:val="28"/>
              <w:szCs w:val="36"/>
            </w:rPr>
            <w:fldChar w:fldCharType="separate"/>
          </w:r>
          <w:r>
            <w:rPr>
              <w:sz w:val="28"/>
              <w:szCs w:val="36"/>
            </w:rPr>
            <w:t>5</w:t>
          </w:r>
          <w:r>
            <w:rPr>
              <w:sz w:val="28"/>
              <w:szCs w:val="36"/>
            </w:rPr>
            <w:fldChar w:fldCharType="end"/>
          </w:r>
          <w:r>
            <w:rPr>
              <w:sz w:val="28"/>
              <w:szCs w:val="36"/>
            </w:rPr>
            <w:fldChar w:fldCharType="end"/>
          </w:r>
        </w:p>
        <w:p w14:paraId="0E402616">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_Toc975304539 </w:instrText>
          </w:r>
          <w:r>
            <w:rPr>
              <w:sz w:val="28"/>
              <w:szCs w:val="36"/>
            </w:rPr>
            <w:fldChar w:fldCharType="separate"/>
          </w:r>
          <w:r>
            <w:rPr>
              <w:rFonts w:hint="default" w:ascii="宋体" w:hAnsi="宋体" w:eastAsia="宋体" w:cs="宋体"/>
              <w:sz w:val="28"/>
              <w:szCs w:val="40"/>
            </w:rPr>
            <w:t xml:space="preserve">6． </w:t>
          </w:r>
          <w:r>
            <w:rPr>
              <w:rFonts w:hint="eastAsia" w:ascii="宋体" w:hAnsi="宋体" w:eastAsia="宋体" w:cs="宋体"/>
              <w:sz w:val="28"/>
              <w:szCs w:val="40"/>
            </w:rPr>
            <w:t>承运商KPI考核</w:t>
          </w:r>
          <w:r>
            <w:rPr>
              <w:sz w:val="28"/>
              <w:szCs w:val="36"/>
            </w:rPr>
            <w:tab/>
          </w:r>
          <w:r>
            <w:rPr>
              <w:sz w:val="28"/>
              <w:szCs w:val="36"/>
            </w:rPr>
            <w:fldChar w:fldCharType="begin"/>
          </w:r>
          <w:r>
            <w:rPr>
              <w:sz w:val="28"/>
              <w:szCs w:val="36"/>
            </w:rPr>
            <w:instrText xml:space="preserve"> PAGEREF _Toc975304539 \h </w:instrText>
          </w:r>
          <w:r>
            <w:rPr>
              <w:sz w:val="28"/>
              <w:szCs w:val="36"/>
            </w:rPr>
            <w:fldChar w:fldCharType="separate"/>
          </w:r>
          <w:r>
            <w:rPr>
              <w:sz w:val="28"/>
              <w:szCs w:val="36"/>
            </w:rPr>
            <w:t>8</w:t>
          </w:r>
          <w:r>
            <w:rPr>
              <w:sz w:val="28"/>
              <w:szCs w:val="36"/>
            </w:rPr>
            <w:fldChar w:fldCharType="end"/>
          </w:r>
          <w:r>
            <w:rPr>
              <w:sz w:val="28"/>
              <w:szCs w:val="36"/>
            </w:rPr>
            <w:fldChar w:fldCharType="end"/>
          </w:r>
        </w:p>
        <w:p w14:paraId="4B7AB5C8">
          <w:pPr>
            <w:pStyle w:val="8"/>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_Toc200709422 </w:instrText>
          </w:r>
          <w:r>
            <w:rPr>
              <w:sz w:val="28"/>
              <w:szCs w:val="36"/>
            </w:rPr>
            <w:fldChar w:fldCharType="separate"/>
          </w:r>
          <w:r>
            <w:rPr>
              <w:rFonts w:hint="eastAsia" w:ascii="宋体" w:hAnsi="宋体" w:eastAsia="宋体" w:cs="宋体"/>
              <w:sz w:val="28"/>
              <w:szCs w:val="40"/>
            </w:rPr>
            <w:t>6.1考核过程</w:t>
          </w:r>
          <w:r>
            <w:rPr>
              <w:sz w:val="28"/>
              <w:szCs w:val="36"/>
            </w:rPr>
            <w:tab/>
          </w:r>
          <w:r>
            <w:rPr>
              <w:sz w:val="28"/>
              <w:szCs w:val="36"/>
            </w:rPr>
            <w:fldChar w:fldCharType="begin"/>
          </w:r>
          <w:r>
            <w:rPr>
              <w:sz w:val="28"/>
              <w:szCs w:val="36"/>
            </w:rPr>
            <w:instrText xml:space="preserve"> PAGEREF _Toc200709422 \h </w:instrText>
          </w:r>
          <w:r>
            <w:rPr>
              <w:sz w:val="28"/>
              <w:szCs w:val="36"/>
            </w:rPr>
            <w:fldChar w:fldCharType="separate"/>
          </w:r>
          <w:r>
            <w:rPr>
              <w:sz w:val="28"/>
              <w:szCs w:val="36"/>
            </w:rPr>
            <w:t>8</w:t>
          </w:r>
          <w:r>
            <w:rPr>
              <w:sz w:val="28"/>
              <w:szCs w:val="36"/>
            </w:rPr>
            <w:fldChar w:fldCharType="end"/>
          </w:r>
          <w:r>
            <w:rPr>
              <w:sz w:val="28"/>
              <w:szCs w:val="36"/>
            </w:rPr>
            <w:fldChar w:fldCharType="end"/>
          </w:r>
        </w:p>
        <w:p w14:paraId="5808734D">
          <w:pPr>
            <w:pStyle w:val="8"/>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_Toc1773929764 </w:instrText>
          </w:r>
          <w:r>
            <w:rPr>
              <w:sz w:val="28"/>
              <w:szCs w:val="36"/>
            </w:rPr>
            <w:fldChar w:fldCharType="separate"/>
          </w:r>
          <w:r>
            <w:rPr>
              <w:rFonts w:hint="eastAsia" w:ascii="宋体" w:hAnsi="宋体" w:eastAsia="宋体" w:cs="宋体"/>
              <w:sz w:val="28"/>
              <w:szCs w:val="40"/>
            </w:rPr>
            <w:t>6</w:t>
          </w:r>
          <w:r>
            <w:rPr>
              <w:rFonts w:hint="eastAsia" w:ascii="宋体" w:hAnsi="宋体" w:eastAsia="宋体" w:cs="宋体"/>
              <w:sz w:val="28"/>
              <w:szCs w:val="40"/>
              <w:lang w:val="en-US" w:eastAsia="zh-Hans"/>
            </w:rPr>
            <w:t>.</w:t>
          </w:r>
          <w:r>
            <w:rPr>
              <w:rFonts w:hint="eastAsia" w:ascii="宋体" w:hAnsi="宋体" w:eastAsia="宋体" w:cs="宋体"/>
              <w:sz w:val="28"/>
              <w:szCs w:val="40"/>
            </w:rPr>
            <w:t>2考核评定流程</w:t>
          </w:r>
          <w:r>
            <w:rPr>
              <w:sz w:val="28"/>
              <w:szCs w:val="36"/>
            </w:rPr>
            <w:tab/>
          </w:r>
          <w:r>
            <w:rPr>
              <w:sz w:val="28"/>
              <w:szCs w:val="36"/>
            </w:rPr>
            <w:fldChar w:fldCharType="begin"/>
          </w:r>
          <w:r>
            <w:rPr>
              <w:sz w:val="28"/>
              <w:szCs w:val="36"/>
            </w:rPr>
            <w:instrText xml:space="preserve"> PAGEREF _Toc1773929764 \h </w:instrText>
          </w:r>
          <w:r>
            <w:rPr>
              <w:sz w:val="28"/>
              <w:szCs w:val="36"/>
            </w:rPr>
            <w:fldChar w:fldCharType="separate"/>
          </w:r>
          <w:r>
            <w:rPr>
              <w:sz w:val="28"/>
              <w:szCs w:val="36"/>
            </w:rPr>
            <w:t>8</w:t>
          </w:r>
          <w:r>
            <w:rPr>
              <w:sz w:val="28"/>
              <w:szCs w:val="36"/>
            </w:rPr>
            <w:fldChar w:fldCharType="end"/>
          </w:r>
          <w:r>
            <w:rPr>
              <w:sz w:val="28"/>
              <w:szCs w:val="36"/>
            </w:rPr>
            <w:fldChar w:fldCharType="end"/>
          </w:r>
        </w:p>
        <w:p w14:paraId="5CC783D8">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_Toc604588072 </w:instrText>
          </w:r>
          <w:r>
            <w:rPr>
              <w:sz w:val="28"/>
              <w:szCs w:val="36"/>
            </w:rPr>
            <w:fldChar w:fldCharType="separate"/>
          </w:r>
          <w:r>
            <w:rPr>
              <w:rFonts w:hint="default" w:ascii="宋体" w:hAnsi="宋体" w:eastAsia="宋体" w:cs="宋体"/>
              <w:sz w:val="28"/>
              <w:szCs w:val="40"/>
              <w:lang w:val="en-US" w:eastAsia="zh-Hans"/>
            </w:rPr>
            <w:t xml:space="preserve">7． </w:t>
          </w:r>
          <w:r>
            <w:rPr>
              <w:rFonts w:hint="eastAsia" w:ascii="宋体" w:hAnsi="宋体" w:eastAsia="宋体" w:cs="宋体"/>
              <w:sz w:val="28"/>
              <w:szCs w:val="40"/>
            </w:rPr>
            <w:t>承运商KPI考核标准</w:t>
          </w:r>
          <w:r>
            <w:rPr>
              <w:rFonts w:hint="eastAsia" w:ascii="宋体" w:hAnsi="宋体" w:cs="宋体"/>
              <w:sz w:val="28"/>
              <w:szCs w:val="40"/>
              <w:lang w:val="en-US" w:eastAsia="zh-Hans"/>
            </w:rPr>
            <w:t>及其他</w:t>
          </w:r>
          <w:r>
            <w:rPr>
              <w:rFonts w:hint="eastAsia" w:ascii="宋体" w:hAnsi="宋体" w:eastAsia="宋体" w:cs="宋体"/>
              <w:sz w:val="28"/>
              <w:szCs w:val="40"/>
              <w:lang w:val="en-US" w:eastAsia="zh-CN"/>
            </w:rPr>
            <w:t>日常运营考核</w:t>
          </w:r>
          <w:r>
            <w:rPr>
              <w:sz w:val="28"/>
              <w:szCs w:val="36"/>
            </w:rPr>
            <w:tab/>
          </w:r>
          <w:r>
            <w:rPr>
              <w:sz w:val="28"/>
              <w:szCs w:val="36"/>
            </w:rPr>
            <w:fldChar w:fldCharType="begin"/>
          </w:r>
          <w:r>
            <w:rPr>
              <w:sz w:val="28"/>
              <w:szCs w:val="36"/>
            </w:rPr>
            <w:instrText xml:space="preserve"> PAGEREF _Toc604588072 \h </w:instrText>
          </w:r>
          <w:r>
            <w:rPr>
              <w:sz w:val="28"/>
              <w:szCs w:val="36"/>
            </w:rPr>
            <w:fldChar w:fldCharType="separate"/>
          </w:r>
          <w:r>
            <w:rPr>
              <w:sz w:val="28"/>
              <w:szCs w:val="36"/>
            </w:rPr>
            <w:t>10</w:t>
          </w:r>
          <w:r>
            <w:rPr>
              <w:sz w:val="28"/>
              <w:szCs w:val="36"/>
            </w:rPr>
            <w:fldChar w:fldCharType="end"/>
          </w:r>
          <w:r>
            <w:rPr>
              <w:sz w:val="28"/>
              <w:szCs w:val="36"/>
            </w:rPr>
            <w:fldChar w:fldCharType="end"/>
          </w:r>
        </w:p>
        <w:p w14:paraId="26213EAD">
          <w:pPr>
            <w:pStyle w:val="7"/>
            <w:keepNext w:val="0"/>
            <w:keepLines w:val="0"/>
            <w:pageBreakBefore w:val="0"/>
            <w:tabs>
              <w:tab w:val="right" w:leader="dot" w:pos="10080"/>
            </w:tabs>
            <w:kinsoku/>
            <w:wordWrap/>
            <w:overflowPunct/>
            <w:topLinePunct w:val="0"/>
            <w:autoSpaceDE/>
            <w:autoSpaceDN/>
            <w:bidi w:val="0"/>
            <w:adjustRightInd/>
            <w:snapToGrid/>
            <w:spacing w:line="480" w:lineRule="auto"/>
            <w:textAlignment w:val="auto"/>
            <w:rPr>
              <w:sz w:val="28"/>
              <w:szCs w:val="36"/>
            </w:rPr>
          </w:pPr>
          <w:r>
            <w:rPr>
              <w:sz w:val="28"/>
              <w:szCs w:val="36"/>
            </w:rPr>
            <w:fldChar w:fldCharType="begin"/>
          </w:r>
          <w:r>
            <w:rPr>
              <w:sz w:val="28"/>
              <w:szCs w:val="36"/>
            </w:rPr>
            <w:instrText xml:space="preserve"> HYPERLINK \l _Toc1566592147 </w:instrText>
          </w:r>
          <w:r>
            <w:rPr>
              <w:sz w:val="28"/>
              <w:szCs w:val="36"/>
            </w:rPr>
            <w:fldChar w:fldCharType="separate"/>
          </w:r>
          <w:r>
            <w:rPr>
              <w:rFonts w:hint="default" w:ascii="宋体" w:hAnsi="宋体" w:eastAsia="宋体" w:cs="宋体"/>
              <w:sz w:val="28"/>
              <w:szCs w:val="40"/>
              <w:lang w:val="en-US" w:eastAsia="zh-CN"/>
            </w:rPr>
            <w:t xml:space="preserve">8． </w:t>
          </w:r>
          <w:r>
            <w:rPr>
              <w:rFonts w:hint="eastAsia" w:ascii="宋体" w:hAnsi="宋体" w:eastAsia="宋体" w:cs="宋体"/>
              <w:sz w:val="28"/>
              <w:szCs w:val="40"/>
              <w:lang w:val="en-US" w:eastAsia="zh-CN"/>
            </w:rPr>
            <w:t>二级、三级承运商管理</w:t>
          </w:r>
          <w:r>
            <w:rPr>
              <w:sz w:val="28"/>
              <w:szCs w:val="36"/>
            </w:rPr>
            <w:tab/>
          </w:r>
          <w:r>
            <w:rPr>
              <w:sz w:val="28"/>
              <w:szCs w:val="36"/>
            </w:rPr>
            <w:fldChar w:fldCharType="begin"/>
          </w:r>
          <w:r>
            <w:rPr>
              <w:sz w:val="28"/>
              <w:szCs w:val="36"/>
            </w:rPr>
            <w:instrText xml:space="preserve"> PAGEREF _Toc1566592147 \h </w:instrText>
          </w:r>
          <w:r>
            <w:rPr>
              <w:sz w:val="28"/>
              <w:szCs w:val="36"/>
            </w:rPr>
            <w:fldChar w:fldCharType="separate"/>
          </w:r>
          <w:r>
            <w:rPr>
              <w:sz w:val="28"/>
              <w:szCs w:val="36"/>
            </w:rPr>
            <w:t>12</w:t>
          </w:r>
          <w:r>
            <w:rPr>
              <w:sz w:val="28"/>
              <w:szCs w:val="36"/>
            </w:rPr>
            <w:fldChar w:fldCharType="end"/>
          </w:r>
          <w:r>
            <w:rPr>
              <w:sz w:val="28"/>
              <w:szCs w:val="36"/>
            </w:rPr>
            <w:fldChar w:fldCharType="end"/>
          </w:r>
        </w:p>
        <w:p w14:paraId="77CF5AFB">
          <w:pPr>
            <w:keepNext w:val="0"/>
            <w:keepLines w:val="0"/>
            <w:pageBreakBefore w:val="0"/>
            <w:kinsoku/>
            <w:wordWrap/>
            <w:overflowPunct/>
            <w:topLinePunct w:val="0"/>
            <w:autoSpaceDE/>
            <w:autoSpaceDN/>
            <w:bidi w:val="0"/>
            <w:adjustRightInd/>
            <w:snapToGrid/>
            <w:spacing w:line="480" w:lineRule="auto"/>
            <w:textAlignment w:val="auto"/>
          </w:pPr>
          <w:r>
            <w:rPr>
              <w:sz w:val="24"/>
              <w:szCs w:val="24"/>
            </w:rPr>
            <w:fldChar w:fldCharType="end"/>
          </w:r>
        </w:p>
        <w:p w14:paraId="2CFEF180"/>
        <w:p w14:paraId="7D392DB0"/>
        <w:p w14:paraId="0BDBCE02"/>
        <w:p w14:paraId="22D3D234"/>
        <w:p w14:paraId="5DAB8E69"/>
        <w:p w14:paraId="440374C9"/>
        <w:p w14:paraId="500CAE19"/>
        <w:p w14:paraId="22635282"/>
        <w:p w14:paraId="10DAF49C"/>
        <w:p w14:paraId="348AD479"/>
        <w:p w14:paraId="69A8B006"/>
        <w:p w14:paraId="122A2DC9"/>
        <w:p w14:paraId="79B92944"/>
        <w:p w14:paraId="4A29F8F7"/>
        <w:p w14:paraId="2083F954"/>
      </w:sdtContent>
    </w:sdt>
    <w:p w14:paraId="25E145B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rPr>
      </w:pPr>
      <w:bookmarkStart w:id="4" w:name="_Toc1974054495"/>
      <w:r>
        <w:rPr>
          <w:rFonts w:hint="eastAsia" w:ascii="宋体" w:hAnsi="宋体" w:eastAsia="宋体" w:cs="宋体"/>
          <w:sz w:val="28"/>
          <w:szCs w:val="28"/>
        </w:rPr>
        <w:t>目的</w:t>
      </w:r>
      <w:bookmarkEnd w:id="0"/>
      <w:bookmarkEnd w:id="1"/>
      <w:bookmarkEnd w:id="2"/>
      <w:bookmarkEnd w:id="3"/>
      <w:bookmarkEnd w:id="4"/>
      <w:bookmarkStart w:id="5" w:name="_Toc210277547"/>
    </w:p>
    <w:p w14:paraId="04E6746F">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为了加强承运商的日常运作管理，统一承运商KPI考核范畴,建立公平、公正、公开的竞争体系，特制定本办法.</w:t>
      </w:r>
      <w:bookmarkStart w:id="6" w:name="_Toc224702940"/>
      <w:bookmarkStart w:id="7" w:name="_Toc224705850"/>
    </w:p>
    <w:p w14:paraId="11BD958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rPr>
      </w:pPr>
      <w:bookmarkStart w:id="8" w:name="_Toc1087958790"/>
      <w:bookmarkStart w:id="9" w:name="_Toc1459034962"/>
      <w:r>
        <w:rPr>
          <w:rFonts w:hint="eastAsia" w:ascii="宋体" w:hAnsi="宋体" w:eastAsia="宋体" w:cs="宋体"/>
          <w:sz w:val="28"/>
          <w:szCs w:val="28"/>
        </w:rPr>
        <w:t>范围</w:t>
      </w:r>
      <w:bookmarkEnd w:id="5"/>
      <w:bookmarkEnd w:id="6"/>
      <w:bookmarkEnd w:id="7"/>
      <w:bookmarkStart w:id="10" w:name="_Toc1531508947"/>
      <w:bookmarkStart w:id="11" w:name="_Toc210277548"/>
      <w:r>
        <w:rPr>
          <w:rFonts w:hint="default" w:ascii="宋体" w:hAnsi="宋体" w:cs="宋体"/>
          <w:sz w:val="28"/>
          <w:szCs w:val="28"/>
        </w:rPr>
        <w:t>：</w:t>
      </w:r>
      <w:r>
        <w:rPr>
          <w:rFonts w:hint="eastAsia" w:ascii="宋体" w:hAnsi="宋体" w:eastAsia="宋体" w:cs="宋体"/>
          <w:sz w:val="28"/>
          <w:szCs w:val="28"/>
        </w:rPr>
        <w:t>适用于所有承运商</w:t>
      </w:r>
      <w:bookmarkEnd w:id="8"/>
      <w:bookmarkEnd w:id="9"/>
      <w:bookmarkEnd w:id="10"/>
      <w:bookmarkStart w:id="12" w:name="_Toc224705851"/>
      <w:bookmarkStart w:id="13" w:name="_Toc224702941"/>
    </w:p>
    <w:p w14:paraId="75530E4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rPr>
      </w:pPr>
      <w:bookmarkStart w:id="14" w:name="_Toc1647612972"/>
      <w:bookmarkStart w:id="15" w:name="_Toc2032324888"/>
      <w:r>
        <w:rPr>
          <w:rFonts w:hint="eastAsia" w:ascii="宋体" w:hAnsi="宋体" w:eastAsia="宋体" w:cs="宋体"/>
          <w:sz w:val="28"/>
          <w:szCs w:val="28"/>
        </w:rPr>
        <w:t>定义</w:t>
      </w:r>
      <w:bookmarkEnd w:id="12"/>
      <w:bookmarkEnd w:id="13"/>
      <w:bookmarkEnd w:id="14"/>
      <w:bookmarkEnd w:id="15"/>
    </w:p>
    <w:p w14:paraId="6AF763F7">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承运商：为</w:t>
      </w:r>
      <w:r>
        <w:rPr>
          <w:rFonts w:hint="eastAsia" w:ascii="宋体" w:hAnsi="宋体" w:eastAsia="宋体" w:cs="宋体"/>
          <w:sz w:val="28"/>
          <w:szCs w:val="28"/>
          <w:lang w:val="en-US" w:eastAsia="zh-CN"/>
        </w:rPr>
        <w:t>零食有鸣</w:t>
      </w:r>
      <w:r>
        <w:rPr>
          <w:rFonts w:hint="eastAsia" w:ascii="宋体" w:hAnsi="宋体" w:eastAsia="宋体" w:cs="宋体"/>
          <w:sz w:val="28"/>
          <w:szCs w:val="28"/>
        </w:rPr>
        <w:t>提供航空、铁路、公路、海运及配送等货物运输服务，并且收取相应服务费用的各类法人企业等。</w:t>
      </w:r>
    </w:p>
    <w:p w14:paraId="6B123DB7">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破损：指货物在装卸、运输、提派、存储等过程中，货物发生损坏、水渍、变形、渗漏、串号等事故的称为破损；</w:t>
      </w:r>
    </w:p>
    <w:p w14:paraId="4443A9DA">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丢失：指货物在运输过程中,整批被盗、整车或部分货物被劫、被盗及车货人（车主)同时失踪而使运输货物产生的损失。</w:t>
      </w:r>
    </w:p>
    <w:p w14:paraId="0B417EBD">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延误（迟到）：指未在约定时间内，承运商到达指定提货地点或将货物运送到指定地点，并交给指定收货人的异常</w:t>
      </w:r>
      <w:r>
        <w:rPr>
          <w:rFonts w:hint="eastAsia" w:ascii="宋体" w:hAnsi="宋体" w:eastAsia="宋体" w:cs="宋体"/>
          <w:sz w:val="28"/>
          <w:szCs w:val="28"/>
          <w:lang w:val="en-US" w:eastAsia="zh-CN"/>
        </w:rPr>
        <w:t>情况</w:t>
      </w:r>
      <w:r>
        <w:rPr>
          <w:rFonts w:hint="eastAsia" w:ascii="宋体" w:hAnsi="宋体" w:eastAsia="宋体" w:cs="宋体"/>
          <w:sz w:val="28"/>
          <w:szCs w:val="28"/>
        </w:rPr>
        <w:t>,其分为提货延误（迟到）和到货延误（迟到）。</w:t>
      </w:r>
    </w:p>
    <w:p w14:paraId="543198FE">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签单返回：指承运商将货物送达指定收货人后，并在指定时间内将收货人签收的随货同行的签收单返回到发货地</w:t>
      </w:r>
      <w:r>
        <w:rPr>
          <w:rFonts w:hint="eastAsia" w:ascii="宋体" w:hAnsi="宋体" w:eastAsia="宋体" w:cs="宋体"/>
          <w:sz w:val="28"/>
          <w:szCs w:val="28"/>
          <w:lang w:val="en-US" w:eastAsia="zh-CN"/>
        </w:rPr>
        <w:t>零食有鸣各区域指定仓库</w:t>
      </w:r>
      <w:r>
        <w:rPr>
          <w:rFonts w:hint="eastAsia" w:ascii="宋体" w:hAnsi="宋体" w:eastAsia="宋体" w:cs="宋体"/>
          <w:sz w:val="28"/>
          <w:szCs w:val="28"/>
        </w:rPr>
        <w:t>或指定地点和收件人的操作。</w:t>
      </w:r>
      <w:bookmarkStart w:id="16" w:name="_Toc224705852"/>
      <w:bookmarkStart w:id="17" w:name="_Toc224702942"/>
    </w:p>
    <w:p w14:paraId="23580D5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rPr>
      </w:pPr>
      <w:bookmarkStart w:id="18" w:name="_Toc1556987081"/>
      <w:bookmarkStart w:id="19" w:name="_Toc1777075986"/>
      <w:r>
        <w:rPr>
          <w:rFonts w:hint="eastAsia" w:ascii="宋体" w:hAnsi="宋体" w:eastAsia="宋体" w:cs="宋体"/>
          <w:sz w:val="28"/>
          <w:szCs w:val="28"/>
        </w:rPr>
        <w:t>职责</w:t>
      </w:r>
      <w:bookmarkEnd w:id="11"/>
      <w:bookmarkEnd w:id="16"/>
      <w:bookmarkEnd w:id="17"/>
      <w:bookmarkEnd w:id="18"/>
      <w:bookmarkEnd w:id="19"/>
      <w:bookmarkStart w:id="20" w:name="_Toc210277551"/>
    </w:p>
    <w:p w14:paraId="73A5298B">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Hans"/>
        </w:rPr>
        <w:t>配送</w:t>
      </w:r>
      <w:r>
        <w:rPr>
          <w:rFonts w:hint="eastAsia" w:ascii="宋体" w:hAnsi="宋体" w:eastAsia="宋体" w:cs="宋体"/>
          <w:sz w:val="28"/>
          <w:szCs w:val="28"/>
        </w:rPr>
        <w:t>部：</w:t>
      </w:r>
    </w:p>
    <w:p w14:paraId="663F6433">
      <w:pPr>
        <w:keepNext w:val="0"/>
        <w:keepLines w:val="0"/>
        <w:pageBreakBefore w:val="0"/>
        <w:widowControl w:val="0"/>
        <w:numPr>
          <w:ilvl w:val="0"/>
          <w:numId w:val="2"/>
        </w:numPr>
        <w:tabs>
          <w:tab w:val="left" w:pos="840"/>
          <w:tab w:val="clear" w:pos="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负责月度承运商KPI考核，定期督促各</w:t>
      </w:r>
      <w:r>
        <w:rPr>
          <w:rFonts w:hint="eastAsia" w:ascii="宋体" w:hAnsi="宋体" w:eastAsia="宋体" w:cs="宋体"/>
          <w:sz w:val="28"/>
          <w:szCs w:val="28"/>
          <w:lang w:val="en-US" w:eastAsia="zh-CN"/>
        </w:rPr>
        <w:t>仓</w:t>
      </w:r>
      <w:r>
        <w:rPr>
          <w:rFonts w:hint="eastAsia" w:ascii="宋体" w:hAnsi="宋体" w:eastAsia="宋体" w:cs="宋体"/>
          <w:sz w:val="28"/>
          <w:szCs w:val="28"/>
        </w:rPr>
        <w:t>提报《承运商运作异常记录表》；</w:t>
      </w:r>
    </w:p>
    <w:p w14:paraId="079C53BA">
      <w:pPr>
        <w:keepNext w:val="0"/>
        <w:keepLines w:val="0"/>
        <w:pageBreakBefore w:val="0"/>
        <w:widowControl w:val="0"/>
        <w:numPr>
          <w:ilvl w:val="0"/>
          <w:numId w:val="2"/>
        </w:numPr>
        <w:tabs>
          <w:tab w:val="left" w:pos="840"/>
          <w:tab w:val="clear" w:pos="0"/>
        </w:tabs>
        <w:kinsoku/>
        <w:wordWrap/>
        <w:overflowPunct/>
        <w:topLinePunct w:val="0"/>
        <w:autoSpaceDE/>
        <w:autoSpaceDN/>
        <w:bidi w:val="0"/>
        <w:adjustRightInd/>
        <w:snapToGrid/>
        <w:spacing w:line="360" w:lineRule="auto"/>
        <w:ind w:left="0" w:leftChars="0" w:right="105" w:rightChars="50" w:firstLine="560" w:firstLineChars="200"/>
        <w:textAlignment w:val="auto"/>
        <w:outlineLvl w:val="1"/>
        <w:rPr>
          <w:rFonts w:hint="eastAsia" w:ascii="宋体" w:hAnsi="宋体" w:eastAsia="宋体" w:cs="宋体"/>
          <w:sz w:val="28"/>
          <w:szCs w:val="28"/>
        </w:rPr>
      </w:pPr>
      <w:bookmarkStart w:id="21" w:name="_Toc1193631672"/>
      <w:r>
        <w:rPr>
          <w:rFonts w:hint="eastAsia" w:ascii="宋体" w:hAnsi="宋体" w:eastAsia="宋体" w:cs="宋体"/>
          <w:sz w:val="28"/>
          <w:szCs w:val="28"/>
        </w:rPr>
        <w:t>对各地提报的《承运商运作导常记录表》进行汇总分析；</w:t>
      </w:r>
      <w:bookmarkEnd w:id="21"/>
    </w:p>
    <w:p w14:paraId="0604C03D">
      <w:pPr>
        <w:keepNext w:val="0"/>
        <w:keepLines w:val="0"/>
        <w:pageBreakBefore w:val="0"/>
        <w:widowControl w:val="0"/>
        <w:numPr>
          <w:ilvl w:val="0"/>
          <w:numId w:val="2"/>
        </w:numPr>
        <w:tabs>
          <w:tab w:val="left" w:pos="840"/>
          <w:tab w:val="clear" w:pos="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根据承运商运营情况及异常记录等,对承运商进行KPI考核评分、排名；</w:t>
      </w:r>
    </w:p>
    <w:p w14:paraId="29A4C53F">
      <w:pPr>
        <w:keepNext w:val="0"/>
        <w:keepLines w:val="0"/>
        <w:pageBreakBefore w:val="0"/>
        <w:widowControl w:val="0"/>
        <w:numPr>
          <w:ilvl w:val="0"/>
          <w:numId w:val="2"/>
        </w:numPr>
        <w:tabs>
          <w:tab w:val="left" w:pos="840"/>
          <w:tab w:val="clear" w:pos="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依据承运商KPI考核结果，对各级承运商开展培训或回访等工作。</w:t>
      </w:r>
    </w:p>
    <w:p w14:paraId="4CA5DADF">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运输调度：</w:t>
      </w:r>
    </w:p>
    <w:p w14:paraId="09A61BD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负责记录直接调配的承运商接货、运输、转运过程的货物跟踪及运作异常记录工作；</w:t>
      </w:r>
    </w:p>
    <w:p w14:paraId="2C59FC6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负责对到达本地货物的验收、转运、派送等工作，并且对承运商的运作异常进行记录；定期将《承运商运作异常记录表》提报到</w:t>
      </w:r>
      <w:r>
        <w:rPr>
          <w:rFonts w:hint="eastAsia" w:ascii="宋体" w:hAnsi="宋体" w:eastAsia="宋体" w:cs="宋体"/>
          <w:sz w:val="28"/>
          <w:szCs w:val="28"/>
          <w:lang w:val="en-US" w:eastAsia="zh-Hans"/>
        </w:rPr>
        <w:t>配送</w:t>
      </w:r>
      <w:r>
        <w:rPr>
          <w:rFonts w:hint="eastAsia" w:ascii="宋体" w:hAnsi="宋体" w:eastAsia="宋体" w:cs="宋体"/>
          <w:sz w:val="28"/>
          <w:szCs w:val="28"/>
        </w:rPr>
        <w:t>部相关人员，以便完成相应的考核工作；</w:t>
      </w:r>
    </w:p>
    <w:p w14:paraId="438152F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负责协调、处理承运商运营的异常事宜，配合总部相关职能部门完成事件处理工作。</w:t>
      </w:r>
    </w:p>
    <w:p w14:paraId="55BFF7D8">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客服:</w:t>
      </w:r>
    </w:p>
    <w:p w14:paraId="057F47F0">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对直接调配的承运商接货、运输、转运的货物跟踪及运作导常的记录工作；负责对各分公司干线运输的货物的在途跟踪工作；定期将《承运商运作异常记录表》汇总后提报到配送部人员，以便完成对承运商考核工作；负责对承运商起运、在途、到达、转运等各环节的监督与指导；</w:t>
      </w:r>
    </w:p>
    <w:p w14:paraId="2770D367">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结算：</w:t>
      </w:r>
    </w:p>
    <w:p w14:paraId="52FA4209">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督促、催收承运商根据客户签单要求将签单及时返回；负责对签单返回的签单，检查签单是否根据客户要求签到完整性、合符要求;定期将《承运商运作异常记录表》提报到配送部相关人员，以便完成相应的考核工作；</w:t>
      </w:r>
      <w:bookmarkEnd w:id="20"/>
    </w:p>
    <w:p w14:paraId="457C2E0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lang w:val="en-US" w:eastAsia="zh-Hans"/>
        </w:rPr>
      </w:pPr>
      <w:bookmarkStart w:id="22" w:name="_Toc113534226"/>
      <w:bookmarkStart w:id="23" w:name="_Toc1722764677"/>
      <w:r>
        <w:rPr>
          <w:rFonts w:hint="eastAsia" w:ascii="宋体" w:hAnsi="宋体" w:eastAsia="宋体" w:cs="宋体"/>
          <w:sz w:val="28"/>
          <w:szCs w:val="28"/>
          <w:lang w:val="en-US" w:eastAsia="zh-Hans"/>
        </w:rPr>
        <w:t>正文</w:t>
      </w:r>
      <w:bookmarkEnd w:id="22"/>
      <w:bookmarkEnd w:id="23"/>
    </w:p>
    <w:p w14:paraId="20C91ADD">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1"/>
        <w:rPr>
          <w:rFonts w:hint="eastAsia" w:ascii="宋体" w:hAnsi="宋体" w:eastAsia="宋体" w:cs="宋体"/>
          <w:sz w:val="28"/>
          <w:szCs w:val="28"/>
        </w:rPr>
      </w:pPr>
      <w:bookmarkStart w:id="24" w:name="_Toc1204257846"/>
      <w:bookmarkStart w:id="25" w:name="_Toc2131397485"/>
      <w:r>
        <w:rPr>
          <w:rFonts w:hint="eastAsia" w:ascii="宋体" w:hAnsi="宋体" w:eastAsia="宋体" w:cs="宋体"/>
          <w:sz w:val="28"/>
          <w:szCs w:val="28"/>
        </w:rPr>
        <w:t>5</w:t>
      </w:r>
      <w:r>
        <w:rPr>
          <w:rFonts w:hint="eastAsia" w:ascii="宋体" w:hAnsi="宋体" w:eastAsia="宋体" w:cs="宋体"/>
          <w:sz w:val="28"/>
          <w:szCs w:val="28"/>
          <w:lang w:val="en-US" w:eastAsia="zh-Hans"/>
        </w:rPr>
        <w:t>.</w:t>
      </w:r>
      <w:r>
        <w:rPr>
          <w:rFonts w:hint="eastAsia" w:ascii="宋体" w:hAnsi="宋体" w:eastAsia="宋体" w:cs="宋体"/>
          <w:sz w:val="28"/>
          <w:szCs w:val="28"/>
          <w:lang w:eastAsia="zh-Hans"/>
        </w:rPr>
        <w:t>1</w:t>
      </w:r>
      <w:r>
        <w:rPr>
          <w:rFonts w:hint="eastAsia" w:ascii="宋体" w:hAnsi="宋体" w:eastAsia="宋体" w:cs="宋体"/>
          <w:sz w:val="28"/>
          <w:szCs w:val="28"/>
        </w:rPr>
        <w:t>承运商KPI考核原则：</w:t>
      </w:r>
      <w:bookmarkEnd w:id="24"/>
      <w:bookmarkEnd w:id="25"/>
    </w:p>
    <w:p w14:paraId="3525B082">
      <w:pPr>
        <w:keepNext w:val="0"/>
        <w:keepLines w:val="0"/>
        <w:pageBreakBefore w:val="0"/>
        <w:widowControl w:val="0"/>
        <w:numPr>
          <w:ilvl w:val="0"/>
          <w:numId w:val="4"/>
        </w:numPr>
        <w:tabs>
          <w:tab w:val="left" w:pos="420"/>
          <w:tab w:val="clear" w:pos="84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公平公开原则：实施对承运商KPI考核时,坚持公开、公平、透明的评价原则;</w:t>
      </w:r>
    </w:p>
    <w:p w14:paraId="426ED21F">
      <w:pPr>
        <w:keepNext w:val="0"/>
        <w:keepLines w:val="0"/>
        <w:pageBreakBefore w:val="0"/>
        <w:widowControl w:val="0"/>
        <w:numPr>
          <w:ilvl w:val="0"/>
          <w:numId w:val="4"/>
        </w:numPr>
        <w:tabs>
          <w:tab w:val="left"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客观性原则：对承运商的任何评价都应有事实根据，避免主观臆断和个人感情化色彩；</w:t>
      </w:r>
    </w:p>
    <w:p w14:paraId="47C870B4">
      <w:pPr>
        <w:keepNext w:val="0"/>
        <w:keepLines w:val="0"/>
        <w:pageBreakBefore w:val="0"/>
        <w:widowControl w:val="0"/>
        <w:numPr>
          <w:ilvl w:val="0"/>
          <w:numId w:val="4"/>
        </w:numPr>
        <w:tabs>
          <w:tab w:val="left"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开放沟通原则：考核结果要及时反馈给承运商；考核者和承运商要开诚布公地进行沟通与交流；肯定成绩并提出今后应努力和改进的方向。</w:t>
      </w:r>
    </w:p>
    <w:p w14:paraId="03B4A1B5">
      <w:pPr>
        <w:keepNext w:val="0"/>
        <w:keepLines w:val="0"/>
        <w:pageBreakBefore w:val="0"/>
        <w:widowControl w:val="0"/>
        <w:numPr>
          <w:ilvl w:val="0"/>
          <w:numId w:val="4"/>
        </w:numPr>
        <w:tabs>
          <w:tab w:val="left" w:pos="420"/>
          <w:tab w:val="clear" w:pos="84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反馈性原则：对承运商进行回访并允许承运商进行解释，自我评价和申诉。</w:t>
      </w:r>
    </w:p>
    <w:p w14:paraId="6FF192D0">
      <w:pPr>
        <w:keepNext w:val="0"/>
        <w:keepLines w:val="0"/>
        <w:pageBreakBefore w:val="0"/>
        <w:widowControl w:val="0"/>
        <w:numPr>
          <w:ilvl w:val="0"/>
          <w:numId w:val="4"/>
        </w:numPr>
        <w:tabs>
          <w:tab w:val="left" w:pos="420"/>
          <w:tab w:val="clear" w:pos="84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差别性原则：针对不同运输方式、货物、时段等制定适当衡量标准，评价结果要适当拉开差距，不搞平均主义.</w:t>
      </w:r>
    </w:p>
    <w:p w14:paraId="28AF1736">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1"/>
        <w:rPr>
          <w:rFonts w:hint="eastAsia" w:ascii="宋体" w:hAnsi="宋体" w:eastAsia="宋体" w:cs="宋体"/>
          <w:sz w:val="28"/>
          <w:szCs w:val="28"/>
        </w:rPr>
      </w:pPr>
      <w:bookmarkStart w:id="26" w:name="_Toc222814788"/>
      <w:bookmarkStart w:id="27" w:name="_Toc2075728394"/>
      <w:r>
        <w:rPr>
          <w:rFonts w:hint="eastAsia" w:ascii="宋体" w:hAnsi="宋体" w:eastAsia="宋体" w:cs="宋体"/>
          <w:sz w:val="28"/>
          <w:szCs w:val="28"/>
        </w:rPr>
        <w:t>5.2货物发货阶段考核指标详解：</w:t>
      </w:r>
      <w:bookmarkEnd w:id="26"/>
      <w:bookmarkEnd w:id="27"/>
    </w:p>
    <w:p w14:paraId="5E3307E5">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color w:val="auto"/>
          <w:sz w:val="28"/>
          <w:szCs w:val="28"/>
        </w:rPr>
      </w:pPr>
      <w:bookmarkStart w:id="28" w:name="_Toc1784145195"/>
      <w:r>
        <w:rPr>
          <w:rFonts w:hint="eastAsia" w:ascii="宋体" w:hAnsi="宋体" w:eastAsia="宋体" w:cs="宋体"/>
          <w:color w:val="auto"/>
          <w:sz w:val="28"/>
          <w:szCs w:val="28"/>
        </w:rPr>
        <w:t>5.2.1主要考核指标:</w:t>
      </w:r>
      <w:bookmarkEnd w:id="28"/>
    </w:p>
    <w:p w14:paraId="01B2D956">
      <w:pPr>
        <w:keepNext w:val="0"/>
        <w:keepLines w:val="0"/>
        <w:pageBreakBefore w:val="0"/>
        <w:widowControl w:val="0"/>
        <w:tabs>
          <w:tab w:val="left" w:pos="840"/>
        </w:tabs>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color w:val="auto"/>
          <w:sz w:val="28"/>
          <w:szCs w:val="28"/>
          <w:lang w:eastAsia="zh-Hans"/>
        </w:rPr>
      </w:pPr>
      <w:bookmarkStart w:id="29" w:name="_Toc814129304"/>
      <w:bookmarkStart w:id="30" w:name="_Toc895272443"/>
      <w:bookmarkStart w:id="31" w:name="_Toc1909779640"/>
      <w:r>
        <w:rPr>
          <w:rFonts w:hint="eastAsia" w:ascii="宋体" w:hAnsi="宋体" w:eastAsia="宋体" w:cs="宋体"/>
          <w:color w:val="auto"/>
          <w:sz w:val="28"/>
          <w:szCs w:val="28"/>
          <w:lang w:val="en-US" w:eastAsia="zh-Hans"/>
        </w:rPr>
        <w:t>准时率</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准时配送次数/总配送次数*100%</w:t>
      </w:r>
      <w:bookmarkEnd w:id="29"/>
      <w:bookmarkEnd w:id="30"/>
      <w:bookmarkEnd w:id="31"/>
    </w:p>
    <w:p w14:paraId="12553A60">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破损率＝每月承运货物残损件数/每月承运货物总件数*100%</w:t>
      </w:r>
    </w:p>
    <w:p w14:paraId="20E9FC73">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Hans"/>
        </w:rPr>
        <w:t>投诉率</w:t>
      </w:r>
      <w:r>
        <w:rPr>
          <w:rFonts w:hint="eastAsia" w:ascii="宋体" w:hAnsi="宋体" w:eastAsia="宋体" w:cs="宋体"/>
          <w:color w:val="auto"/>
          <w:sz w:val="28"/>
          <w:szCs w:val="28"/>
        </w:rPr>
        <w:t>＝客户投诉次数/所承运货物的总次数*100%</w:t>
      </w:r>
    </w:p>
    <w:p w14:paraId="0026A93F">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配送完成率=当日未完成配送门店数÷总配送门数*100%</w:t>
      </w:r>
    </w:p>
    <w:p w14:paraId="7023B516">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default" w:ascii="宋体" w:hAnsi="宋体" w:eastAsia="宋体" w:cs="宋体"/>
          <w:color w:val="auto"/>
          <w:sz w:val="28"/>
          <w:szCs w:val="28"/>
        </w:rPr>
      </w:pPr>
      <w:bookmarkStart w:id="32" w:name="_Toc1452897291"/>
      <w:r>
        <w:rPr>
          <w:rFonts w:hint="eastAsia" w:ascii="宋体" w:hAnsi="宋体" w:eastAsia="宋体" w:cs="宋体"/>
          <w:color w:val="auto"/>
          <w:sz w:val="28"/>
          <w:szCs w:val="28"/>
        </w:rPr>
        <w:t>5.2</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Hans"/>
        </w:rPr>
        <w:t>配送</w:t>
      </w:r>
      <w:r>
        <w:rPr>
          <w:rFonts w:hint="eastAsia" w:ascii="宋体" w:hAnsi="宋体" w:cs="宋体"/>
          <w:color w:val="auto"/>
          <w:sz w:val="28"/>
          <w:szCs w:val="28"/>
          <w:lang w:val="en-US" w:eastAsia="zh-CN"/>
        </w:rPr>
        <w:t>准时</w:t>
      </w:r>
      <w:r>
        <w:rPr>
          <w:rFonts w:hint="eastAsia" w:ascii="宋体" w:hAnsi="宋体" w:eastAsia="宋体" w:cs="宋体"/>
          <w:color w:val="auto"/>
          <w:sz w:val="28"/>
          <w:szCs w:val="28"/>
          <w:lang w:val="en-US" w:eastAsia="zh-Hans"/>
        </w:rPr>
        <w:t>率</w:t>
      </w:r>
      <w:bookmarkEnd w:id="32"/>
    </w:p>
    <w:p w14:paraId="6A6F3D32">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color w:val="auto"/>
          <w:sz w:val="28"/>
          <w:szCs w:val="28"/>
        </w:rPr>
      </w:pPr>
      <w:bookmarkStart w:id="33" w:name="_Toc1955703447"/>
      <w:bookmarkStart w:id="34" w:name="_Toc1375821418"/>
      <w:bookmarkStart w:id="35" w:name="_Toc1573518619"/>
      <w:r>
        <w:rPr>
          <w:rFonts w:hint="eastAsia" w:ascii="宋体" w:hAnsi="宋体" w:eastAsia="宋体" w:cs="宋体"/>
          <w:color w:val="auto"/>
          <w:sz w:val="28"/>
          <w:szCs w:val="28"/>
        </w:rPr>
        <w:t>责任部门:</w:t>
      </w:r>
      <w:bookmarkEnd w:id="33"/>
      <w:bookmarkEnd w:id="34"/>
      <w:bookmarkEnd w:id="35"/>
    </w:p>
    <w:p w14:paraId="32A23E5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客服：</w:t>
      </w:r>
    </w:p>
    <w:p w14:paraId="7AF42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负责所有货物到达的跟踪及直接调度的承运商货物到达情况进行跟踪、指导工作。对于到达货物出现延误的及时记录在《承运商运作异常记录表》并且每周上班第一天将上周承运商运营情况提报到配送部.</w:t>
      </w:r>
    </w:p>
    <w:p w14:paraId="1835CD04">
      <w:pPr>
        <w:keepNext w:val="0"/>
        <w:keepLines w:val="0"/>
        <w:pageBreakBefore w:val="0"/>
        <w:widowControl w:val="0"/>
        <w:numPr>
          <w:ilvl w:val="0"/>
          <w:numId w:val="6"/>
        </w:numPr>
        <w:tabs>
          <w:tab w:val="left" w:pos="397"/>
          <w:tab w:val="clear" w:pos="817"/>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运输调度人员：</w:t>
      </w:r>
    </w:p>
    <w:p w14:paraId="501A94DB">
      <w:pPr>
        <w:keepNext w:val="0"/>
        <w:keepLines w:val="0"/>
        <w:pageBreakBefore w:val="0"/>
        <w:widowControl w:val="0"/>
        <w:numPr>
          <w:ilvl w:val="0"/>
          <w:numId w:val="0"/>
        </w:numPr>
        <w:tabs>
          <w:tab w:val="left" w:pos="397"/>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负责对到达本地货物（承运商直送客户除外）验收与货物签收工作，对于没有按指定时间到达的货物及时在《承运商运作异常记录表》，并且每周上班第一天将上周承运商运营情况提报到配送部处.</w:t>
      </w:r>
    </w:p>
    <w:p w14:paraId="7FD0311F">
      <w:pPr>
        <w:keepNext w:val="0"/>
        <w:keepLines w:val="0"/>
        <w:pageBreakBefore w:val="0"/>
        <w:widowControl w:val="0"/>
        <w:numPr>
          <w:ilvl w:val="0"/>
          <w:numId w:val="0"/>
        </w:numPr>
        <w:tabs>
          <w:tab w:val="left" w:pos="397"/>
        </w:tabs>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color w:val="auto"/>
          <w:sz w:val="28"/>
          <w:szCs w:val="28"/>
        </w:rPr>
      </w:pPr>
      <w:bookmarkStart w:id="36" w:name="_Toc2013800375"/>
      <w:bookmarkStart w:id="37" w:name="_Toc123132747"/>
      <w:bookmarkStart w:id="38" w:name="_Toc1474145077"/>
      <w:r>
        <w:rPr>
          <w:rFonts w:hint="eastAsia" w:ascii="宋体" w:hAnsi="宋体" w:eastAsia="宋体" w:cs="宋体"/>
          <w:color w:val="auto"/>
          <w:sz w:val="28"/>
          <w:szCs w:val="28"/>
        </w:rPr>
        <w:t>5.2</w:t>
      </w:r>
      <w:r>
        <w:rPr>
          <w:rFonts w:hint="eastAsia" w:ascii="宋体" w:hAnsi="宋体" w:eastAsia="宋体" w:cs="宋体"/>
          <w:color w:val="auto"/>
          <w:sz w:val="28"/>
          <w:szCs w:val="28"/>
          <w:lang w:val="en-US" w:eastAsia="zh-Hans"/>
        </w:rPr>
        <w:t>.</w:t>
      </w: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Hans"/>
        </w:rPr>
        <w:t>.</w:t>
      </w:r>
      <w:r>
        <w:rPr>
          <w:rFonts w:hint="eastAsia" w:ascii="宋体" w:hAnsi="宋体" w:eastAsia="宋体" w:cs="宋体"/>
          <w:color w:val="auto"/>
          <w:sz w:val="28"/>
          <w:szCs w:val="28"/>
          <w:lang w:eastAsia="zh-Hans"/>
        </w:rPr>
        <w:t>1</w:t>
      </w:r>
      <w:r>
        <w:rPr>
          <w:rFonts w:hint="eastAsia" w:ascii="宋体" w:hAnsi="宋体" w:eastAsia="宋体" w:cs="宋体"/>
          <w:color w:val="auto"/>
          <w:sz w:val="28"/>
          <w:szCs w:val="28"/>
        </w:rPr>
        <w:t>考核范畴：</w:t>
      </w:r>
      <w:bookmarkEnd w:id="36"/>
      <w:bookmarkEnd w:id="37"/>
      <w:bookmarkEnd w:id="38"/>
    </w:p>
    <w:p w14:paraId="5ED04299">
      <w:pPr>
        <w:keepNext w:val="0"/>
        <w:keepLines w:val="0"/>
        <w:pageBreakBefore w:val="0"/>
        <w:widowControl w:val="0"/>
        <w:numPr>
          <w:ilvl w:val="0"/>
          <w:numId w:val="7"/>
        </w:numPr>
        <w:tabs>
          <w:tab w:val="left" w:pos="397"/>
          <w:tab w:val="clear" w:pos="817"/>
        </w:tabs>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color w:val="auto"/>
          <w:sz w:val="28"/>
          <w:szCs w:val="28"/>
        </w:rPr>
      </w:pPr>
      <w:bookmarkStart w:id="39" w:name="_Toc1600625905"/>
      <w:bookmarkStart w:id="40" w:name="_Toc1465326768"/>
      <w:bookmarkStart w:id="41" w:name="_Toc437473700"/>
      <w:r>
        <w:rPr>
          <w:rFonts w:hint="eastAsia" w:ascii="宋体" w:hAnsi="宋体" w:eastAsia="宋体" w:cs="宋体"/>
          <w:color w:val="auto"/>
          <w:sz w:val="28"/>
          <w:szCs w:val="28"/>
        </w:rPr>
        <w:t>记入KPI考核范畴（包括但不限于)</w:t>
      </w:r>
      <w:bookmarkEnd w:id="39"/>
      <w:bookmarkEnd w:id="40"/>
      <w:bookmarkEnd w:id="41"/>
    </w:p>
    <w:p w14:paraId="33386CE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未按规定时间到达，且未及时与</w:t>
      </w:r>
      <w:r>
        <w:rPr>
          <w:rFonts w:hint="eastAsia" w:ascii="宋体" w:hAnsi="宋体" w:eastAsia="宋体" w:cs="宋体"/>
          <w:color w:val="auto"/>
          <w:sz w:val="28"/>
          <w:szCs w:val="28"/>
          <w:lang w:val="en-US" w:eastAsia="zh-CN"/>
        </w:rPr>
        <w:t>物流部</w:t>
      </w:r>
      <w:r>
        <w:rPr>
          <w:rFonts w:hint="eastAsia" w:ascii="宋体" w:hAnsi="宋体" w:eastAsia="宋体" w:cs="宋体"/>
          <w:color w:val="auto"/>
          <w:sz w:val="28"/>
          <w:szCs w:val="28"/>
        </w:rPr>
        <w:t>或客户进行沟通说明原因，造成客户投诉的；</w:t>
      </w:r>
    </w:p>
    <w:p w14:paraId="030671C8">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未按规定时间到达，与</w:t>
      </w:r>
      <w:r>
        <w:rPr>
          <w:rFonts w:hint="eastAsia" w:ascii="宋体" w:hAnsi="宋体" w:eastAsia="宋体" w:cs="宋体"/>
          <w:color w:val="auto"/>
          <w:sz w:val="28"/>
          <w:szCs w:val="28"/>
          <w:lang w:val="en-US" w:eastAsia="zh-CN"/>
        </w:rPr>
        <w:t>物流部</w:t>
      </w:r>
      <w:r>
        <w:rPr>
          <w:rFonts w:hint="eastAsia" w:ascii="宋体" w:hAnsi="宋体" w:eastAsia="宋体" w:cs="宋体"/>
          <w:color w:val="auto"/>
          <w:sz w:val="28"/>
          <w:szCs w:val="28"/>
        </w:rPr>
        <w:t>或客户说明原因，但仍造成客户投诉的；</w:t>
      </w:r>
    </w:p>
    <w:p w14:paraId="5CF7DC4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未按规定时间到达,且未及时说明原因，但未造成客户投诉，延误5小时以上（含5小</w:t>
      </w:r>
      <w:r>
        <w:rPr>
          <w:rFonts w:hint="eastAsia" w:ascii="宋体" w:hAnsi="宋体" w:eastAsia="宋体" w:cs="宋体"/>
          <w:color w:val="auto"/>
          <w:sz w:val="28"/>
          <w:szCs w:val="28"/>
          <w:lang w:val="en-US" w:eastAsia="zh-Hans"/>
        </w:rPr>
        <w:t>时</w:t>
      </w:r>
      <w:r>
        <w:rPr>
          <w:rFonts w:hint="eastAsia" w:ascii="宋体" w:hAnsi="宋体" w:eastAsia="宋体" w:cs="宋体"/>
          <w:color w:val="auto"/>
          <w:sz w:val="28"/>
          <w:szCs w:val="28"/>
          <w:lang w:eastAsia="zh-Hans"/>
        </w:rPr>
        <w:t>）</w:t>
      </w:r>
    </w:p>
    <w:p w14:paraId="207248D6">
      <w:pPr>
        <w:keepNext w:val="0"/>
        <w:keepLines w:val="0"/>
        <w:pageBreakBefore w:val="0"/>
        <w:widowControl w:val="0"/>
        <w:numPr>
          <w:ilvl w:val="0"/>
          <w:numId w:val="10"/>
        </w:numPr>
        <w:tabs>
          <w:tab w:val="left" w:pos="397"/>
          <w:tab w:val="clear" w:pos="817"/>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不记入KPI考核范畴（包括但不限于）</w:t>
      </w:r>
    </w:p>
    <w:p w14:paraId="10625DD6">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客服跟单过程中，发现货物未按规定时限内完成配送，承运商也未及时说明原因，延误5小时内但未造成客户投诉的。</w:t>
      </w:r>
    </w:p>
    <w:p w14:paraId="232A477D">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sz w:val="28"/>
          <w:szCs w:val="28"/>
        </w:rPr>
      </w:pPr>
      <w:bookmarkStart w:id="42" w:name="_Toc404525980"/>
      <w:r>
        <w:rPr>
          <w:rFonts w:hint="eastAsia" w:ascii="宋体" w:hAnsi="宋体" w:eastAsia="宋体" w:cs="宋体"/>
          <w:sz w:val="28"/>
          <w:szCs w:val="28"/>
        </w:rPr>
        <w:t>5.2.3破损率</w:t>
      </w:r>
      <w:bookmarkEnd w:id="42"/>
    </w:p>
    <w:p w14:paraId="5B8B871E">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5.2</w:t>
      </w:r>
      <w:r>
        <w:rPr>
          <w:rFonts w:hint="eastAsia" w:ascii="宋体" w:hAnsi="宋体" w:eastAsia="宋体" w:cs="宋体"/>
          <w:sz w:val="28"/>
          <w:szCs w:val="28"/>
          <w:lang w:val="en-US" w:eastAsia="zh-Hans"/>
        </w:rPr>
        <w:t>.</w:t>
      </w:r>
      <w:r>
        <w:rPr>
          <w:rFonts w:hint="eastAsia" w:ascii="宋体" w:hAnsi="宋体" w:eastAsia="宋体" w:cs="宋体"/>
          <w:sz w:val="28"/>
          <w:szCs w:val="28"/>
          <w:lang w:eastAsia="zh-Hans"/>
        </w:rPr>
        <w:t>3</w:t>
      </w:r>
      <w:r>
        <w:rPr>
          <w:rFonts w:hint="eastAsia" w:ascii="宋体" w:hAnsi="宋体" w:eastAsia="宋体" w:cs="宋体"/>
          <w:sz w:val="28"/>
          <w:szCs w:val="28"/>
          <w:lang w:val="en-US" w:eastAsia="zh-Hans"/>
        </w:rPr>
        <w:t>.</w:t>
      </w:r>
      <w:r>
        <w:rPr>
          <w:rFonts w:hint="eastAsia" w:ascii="宋体" w:hAnsi="宋体" w:eastAsia="宋体" w:cs="宋体"/>
          <w:sz w:val="28"/>
          <w:szCs w:val="28"/>
          <w:lang w:eastAsia="zh-Hans"/>
        </w:rPr>
        <w:t>1</w:t>
      </w:r>
      <w:r>
        <w:rPr>
          <w:rFonts w:hint="eastAsia" w:ascii="宋体" w:hAnsi="宋体" w:eastAsia="宋体" w:cs="宋体"/>
          <w:sz w:val="28"/>
          <w:szCs w:val="28"/>
        </w:rPr>
        <w:t>责任部门：</w:t>
      </w:r>
    </w:p>
    <w:p w14:paraId="2F28748C">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运输调度：负责直接收、发货物时，对承运商在货物提派、转运、运输等各节点安全情况进行监督指导,对于出现货物破损、丢失及在途信息反馈不及时、不谁确等情况，及时记录在《承运商运作异常记录表》中，并且每周上班第一天将上周异常记录情况提报到营运部。</w:t>
      </w:r>
    </w:p>
    <w:p w14:paraId="0657B478">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客服：负责对直接调派的承运商在货物提派、转运、在途等进行全程监督、跟踪,对于出现货物破损、丢失及信息反馈不及时、不准确等情况,及时记录到《承运商运作异常记录表》，并且每周上班第一天将上周异常记录情况提报到营运部处。</w:t>
      </w:r>
    </w:p>
    <w:p w14:paraId="7BB792AC">
      <w:pPr>
        <w:pStyle w:val="3"/>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b w:val="0"/>
          <w:sz w:val="28"/>
          <w:szCs w:val="28"/>
        </w:rPr>
      </w:pPr>
      <w:bookmarkStart w:id="43" w:name="_Toc2082403105"/>
      <w:bookmarkStart w:id="44" w:name="_Toc191939366"/>
      <w:bookmarkStart w:id="45" w:name="_Toc1783952219"/>
      <w:r>
        <w:rPr>
          <w:rFonts w:hint="eastAsia" w:ascii="宋体" w:hAnsi="宋体" w:eastAsia="宋体" w:cs="宋体"/>
          <w:b w:val="0"/>
          <w:sz w:val="28"/>
          <w:szCs w:val="28"/>
        </w:rPr>
        <w:t>5.2</w:t>
      </w:r>
      <w:r>
        <w:rPr>
          <w:rFonts w:hint="eastAsia" w:ascii="宋体" w:hAnsi="宋体" w:eastAsia="宋体" w:cs="宋体"/>
          <w:b w:val="0"/>
          <w:sz w:val="28"/>
          <w:szCs w:val="28"/>
          <w:lang w:val="en-US" w:eastAsia="zh-Hans"/>
        </w:rPr>
        <w:t>.</w:t>
      </w:r>
      <w:r>
        <w:rPr>
          <w:rFonts w:hint="default" w:ascii="宋体" w:hAnsi="宋体" w:eastAsia="宋体" w:cs="宋体"/>
          <w:b w:val="0"/>
          <w:sz w:val="28"/>
          <w:szCs w:val="28"/>
          <w:lang w:eastAsia="zh-Hans"/>
        </w:rPr>
        <w:t>3</w:t>
      </w:r>
      <w:r>
        <w:rPr>
          <w:rFonts w:hint="eastAsia" w:ascii="宋体" w:hAnsi="宋体" w:eastAsia="宋体" w:cs="宋体"/>
          <w:b w:val="0"/>
          <w:sz w:val="28"/>
          <w:szCs w:val="28"/>
          <w:lang w:val="en-US" w:eastAsia="zh-Hans"/>
        </w:rPr>
        <w:t>.</w:t>
      </w:r>
      <w:r>
        <w:rPr>
          <w:rFonts w:hint="default" w:ascii="宋体" w:hAnsi="宋体" w:eastAsia="宋体" w:cs="宋体"/>
          <w:b w:val="0"/>
          <w:sz w:val="28"/>
          <w:szCs w:val="28"/>
          <w:lang w:eastAsia="zh-Hans"/>
        </w:rPr>
        <w:t>2</w:t>
      </w:r>
      <w:r>
        <w:rPr>
          <w:rFonts w:hint="eastAsia" w:ascii="宋体" w:hAnsi="宋体" w:eastAsia="宋体" w:cs="宋体"/>
          <w:b w:val="0"/>
          <w:sz w:val="28"/>
          <w:szCs w:val="28"/>
        </w:rPr>
        <w:t>考核范畴（包括但不限于）：</w:t>
      </w:r>
      <w:bookmarkEnd w:id="43"/>
      <w:bookmarkEnd w:id="44"/>
      <w:bookmarkEnd w:id="45"/>
    </w:p>
    <w:p w14:paraId="63B35188">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1）列入KPI考核范畴：</w:t>
      </w:r>
    </w:p>
    <w:p w14:paraId="216EFFC1">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A、运输过程中遭受雨淋、水浸等情况，造成货物破损、湿损、生锈的；</w:t>
      </w:r>
    </w:p>
    <w:p w14:paraId="356A970B">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B、因受震动、碰撞、挤压而造成的变形、损坏及收货人拒绝收货的;</w:t>
      </w:r>
    </w:p>
    <w:p w14:paraId="2E8198EF">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C、车辆碰撞、倾覆等意外事故,而没有积极采取相应措施避免损失扩大的;</w:t>
      </w:r>
    </w:p>
    <w:p w14:paraId="3E40835B">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D、在运输、转运、搬运过程中造成货物串号、地址发运错误的.</w:t>
      </w:r>
    </w:p>
    <w:p w14:paraId="7431FA71">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2）不记入KPI考核范畴：</w:t>
      </w:r>
    </w:p>
    <w:p w14:paraId="1D603D33">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A、火灾、爆炸、雷电、暴雨、地震等自然灾害或其它不可抗力而造成的损失或差异的;</w:t>
      </w:r>
    </w:p>
    <w:p w14:paraId="39C030E8">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B、车辆发生碰撞、倾覆、隧道坍塌等意外事故而造成损失或差异后,积极采取现场保护并实施补救的。</w:t>
      </w:r>
    </w:p>
    <w:p w14:paraId="4853C51C">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sz w:val="28"/>
          <w:szCs w:val="28"/>
        </w:rPr>
      </w:pPr>
      <w:bookmarkStart w:id="46" w:name="_Toc1407990576"/>
      <w:r>
        <w:rPr>
          <w:rFonts w:hint="eastAsia" w:ascii="宋体" w:hAnsi="宋体" w:eastAsia="宋体" w:cs="宋体"/>
          <w:sz w:val="28"/>
          <w:szCs w:val="28"/>
        </w:rPr>
        <w:t>5.2</w:t>
      </w:r>
      <w:r>
        <w:rPr>
          <w:rFonts w:hint="eastAsia" w:ascii="宋体" w:hAnsi="宋体" w:eastAsia="宋体" w:cs="宋体"/>
          <w:sz w:val="28"/>
          <w:szCs w:val="28"/>
          <w:lang w:val="en-US" w:eastAsia="zh-Hans"/>
        </w:rPr>
        <w:t>.</w:t>
      </w:r>
      <w:r>
        <w:rPr>
          <w:rFonts w:hint="eastAsia" w:ascii="宋体" w:hAnsi="宋体" w:eastAsia="宋体" w:cs="宋体"/>
          <w:sz w:val="28"/>
          <w:szCs w:val="28"/>
          <w:lang w:eastAsia="zh-Hans"/>
        </w:rPr>
        <w:t>4</w:t>
      </w:r>
      <w:r>
        <w:rPr>
          <w:rFonts w:hint="eastAsia" w:ascii="宋体" w:hAnsi="宋体" w:eastAsia="宋体" w:cs="宋体"/>
          <w:sz w:val="28"/>
          <w:szCs w:val="28"/>
        </w:rPr>
        <w:t>投诉</w:t>
      </w:r>
      <w:r>
        <w:rPr>
          <w:rFonts w:hint="eastAsia" w:ascii="宋体" w:hAnsi="宋体" w:eastAsia="宋体" w:cs="宋体"/>
          <w:sz w:val="28"/>
          <w:szCs w:val="28"/>
          <w:lang w:val="en-US" w:eastAsia="zh-Hans"/>
        </w:rPr>
        <w:t>率</w:t>
      </w:r>
      <w:r>
        <w:rPr>
          <w:rFonts w:hint="eastAsia" w:ascii="宋体" w:hAnsi="宋体" w:eastAsia="宋体" w:cs="宋体"/>
          <w:sz w:val="28"/>
          <w:szCs w:val="28"/>
        </w:rPr>
        <w:t>：</w:t>
      </w:r>
      <w:bookmarkEnd w:id="46"/>
    </w:p>
    <w:p w14:paraId="2A1688FA">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1)记入KPI考核指标：</w:t>
      </w:r>
    </w:p>
    <w:p w14:paraId="1F410261">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A、在运输、转运、搬运过程中，出现整批或是部分被盗、被劫的，记入KPI考核</w:t>
      </w:r>
      <w:r>
        <w:rPr>
          <w:rFonts w:hint="eastAsia" w:ascii="宋体" w:hAnsi="宋体" w:cs="宋体"/>
          <w:sz w:val="28"/>
          <w:szCs w:val="28"/>
          <w:lang w:eastAsia="zh-CN"/>
        </w:rPr>
        <w:t>；</w:t>
      </w:r>
    </w:p>
    <w:p w14:paraId="59353E7B">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ins w:id="0" w:author="bl00153" w:date="2008-10-13T17:23:00Z"/>
          <w:rFonts w:hint="eastAsia" w:ascii="宋体" w:hAnsi="宋体" w:eastAsia="宋体" w:cs="宋体"/>
          <w:sz w:val="28"/>
          <w:szCs w:val="28"/>
          <w:lang w:eastAsia="zh-CN"/>
        </w:rPr>
      </w:pPr>
      <w:r>
        <w:rPr>
          <w:rFonts w:hint="eastAsia" w:ascii="宋体" w:hAnsi="宋体" w:eastAsia="宋体" w:cs="宋体"/>
          <w:sz w:val="28"/>
          <w:szCs w:val="28"/>
        </w:rPr>
        <w:t>B、货物在运输过程中，货、车、人不见</w:t>
      </w:r>
      <w:r>
        <w:rPr>
          <w:rFonts w:hint="eastAsia" w:ascii="宋体" w:hAnsi="宋体" w:cs="宋体"/>
          <w:sz w:val="28"/>
          <w:szCs w:val="28"/>
          <w:lang w:eastAsia="zh-CN"/>
        </w:rPr>
        <w:t>，</w:t>
      </w:r>
      <w:r>
        <w:rPr>
          <w:rFonts w:hint="eastAsia" w:ascii="宋体" w:hAnsi="宋体" w:eastAsia="宋体" w:cs="宋体"/>
          <w:sz w:val="28"/>
          <w:szCs w:val="28"/>
        </w:rPr>
        <w:t>记入KPI考核</w:t>
      </w:r>
      <w:r>
        <w:rPr>
          <w:rFonts w:hint="eastAsia" w:ascii="宋体" w:hAnsi="宋体" w:cs="宋体"/>
          <w:sz w:val="28"/>
          <w:szCs w:val="28"/>
          <w:lang w:eastAsia="zh-CN"/>
        </w:rPr>
        <w:t>；</w:t>
      </w:r>
    </w:p>
    <w:p w14:paraId="30C1EA2C">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C、在运输、转运、搬运过程中，出现货物被抢劫或盗窃，但并没有得到公安部门鉴定的，记入KPI考核</w:t>
      </w:r>
      <w:r>
        <w:rPr>
          <w:rFonts w:hint="eastAsia" w:ascii="宋体" w:hAnsi="宋体" w:cs="宋体"/>
          <w:sz w:val="28"/>
          <w:szCs w:val="28"/>
          <w:lang w:eastAsia="zh-CN"/>
        </w:rPr>
        <w:t>；</w:t>
      </w:r>
    </w:p>
    <w:p w14:paraId="5F649964">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D、由于承运商送货时顶碰、不配合等服务态度原因，造成客户电话、邮件、书面投诉的</w:t>
      </w:r>
      <w:r>
        <w:rPr>
          <w:rFonts w:hint="eastAsia" w:ascii="宋体" w:hAnsi="宋体" w:cs="宋体"/>
          <w:sz w:val="28"/>
          <w:szCs w:val="28"/>
          <w:lang w:eastAsia="zh-CN"/>
        </w:rPr>
        <w:t>；</w:t>
      </w:r>
    </w:p>
    <w:p w14:paraId="471BE422">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E、我司在提货过程中，承运商不配合或故意拖延畅顺人员进行出入库操作，记入KPI考核</w:t>
      </w:r>
      <w:r>
        <w:rPr>
          <w:rFonts w:hint="eastAsia" w:ascii="宋体" w:hAnsi="宋体" w:cs="宋体"/>
          <w:sz w:val="28"/>
          <w:szCs w:val="28"/>
          <w:lang w:eastAsia="zh-CN"/>
        </w:rPr>
        <w:t>。</w:t>
      </w:r>
    </w:p>
    <w:p w14:paraId="72C56F87">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2）不记入KPI考核指标:</w:t>
      </w:r>
    </w:p>
    <w:p w14:paraId="1098DD20">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A、货物在运输过程中，出现货物被盗，能够及时报案并积极同客户沟通，公安部门在案发七天内将货物追回同时客户没有进行投诉及追究经济补偿的，不记入KPI考核。</w:t>
      </w:r>
    </w:p>
    <w:p w14:paraId="4C49ABDE">
      <w:pPr>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B、货物在运输过程中，出现被抢劫并且承运商积极求助仍造成被抢劫,事发后经过公安部门找回，客户也没进行经济处罚的不计入KPI考核指标。</w:t>
      </w:r>
    </w:p>
    <w:p w14:paraId="48D7208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eastAsia" w:ascii="宋体" w:hAnsi="宋体" w:eastAsia="宋体" w:cs="宋体"/>
          <w:sz w:val="28"/>
          <w:szCs w:val="28"/>
        </w:rPr>
      </w:pPr>
      <w:bookmarkStart w:id="47" w:name="_Toc975304539"/>
      <w:bookmarkStart w:id="48" w:name="_Toc404486568"/>
      <w:r>
        <w:rPr>
          <w:rFonts w:hint="eastAsia" w:ascii="宋体" w:hAnsi="宋体" w:eastAsia="宋体" w:cs="宋体"/>
          <w:sz w:val="28"/>
          <w:szCs w:val="28"/>
        </w:rPr>
        <w:t>承运商KPI考核</w:t>
      </w:r>
      <w:bookmarkEnd w:id="47"/>
      <w:bookmarkEnd w:id="48"/>
    </w:p>
    <w:p w14:paraId="3E112E93">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outlineLvl w:val="1"/>
        <w:rPr>
          <w:rFonts w:hint="eastAsia" w:ascii="宋体" w:hAnsi="宋体" w:eastAsia="宋体" w:cs="宋体"/>
          <w:sz w:val="28"/>
          <w:szCs w:val="28"/>
        </w:rPr>
      </w:pPr>
      <w:bookmarkStart w:id="49" w:name="_Toc1420005621"/>
      <w:bookmarkStart w:id="50" w:name="_Toc200709422"/>
      <w:r>
        <w:rPr>
          <w:rFonts w:hint="eastAsia" w:ascii="宋体" w:hAnsi="宋体" w:eastAsia="宋体" w:cs="宋体"/>
          <w:sz w:val="28"/>
          <w:szCs w:val="28"/>
        </w:rPr>
        <w:t>6.1考核过程</w:t>
      </w:r>
      <w:bookmarkEnd w:id="49"/>
      <w:bookmarkEnd w:id="50"/>
    </w:p>
    <w:p w14:paraId="15D521C5">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6.1.1考核周期：月度</w:t>
      </w:r>
    </w:p>
    <w:p w14:paraId="425D4A8C">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w:t>
      </w:r>
      <w:r>
        <w:rPr>
          <w:rFonts w:hint="eastAsia" w:ascii="宋体" w:hAnsi="宋体" w:eastAsia="宋体" w:cs="宋体"/>
          <w:sz w:val="28"/>
          <w:szCs w:val="28"/>
          <w:lang w:val="en-US" w:eastAsia="zh-Hans"/>
        </w:rPr>
        <w:t>.</w:t>
      </w:r>
      <w:r>
        <w:rPr>
          <w:rFonts w:hint="eastAsia" w:ascii="宋体" w:hAnsi="宋体" w:eastAsia="宋体" w:cs="宋体"/>
          <w:sz w:val="28"/>
          <w:szCs w:val="28"/>
        </w:rPr>
        <w:t>2考核范围：当月运作的</w:t>
      </w:r>
      <w:r>
        <w:rPr>
          <w:rFonts w:hint="eastAsia" w:ascii="宋体" w:hAnsi="宋体" w:eastAsia="宋体" w:cs="宋体"/>
          <w:sz w:val="28"/>
          <w:szCs w:val="28"/>
          <w:lang w:val="en-US" w:eastAsia="zh-Hans"/>
        </w:rPr>
        <w:t>所有</w:t>
      </w:r>
      <w:r>
        <w:rPr>
          <w:rFonts w:hint="eastAsia" w:ascii="宋体" w:hAnsi="宋体" w:eastAsia="宋体" w:cs="宋体"/>
          <w:sz w:val="28"/>
          <w:szCs w:val="28"/>
        </w:rPr>
        <w:t>承运商</w:t>
      </w:r>
    </w:p>
    <w:p w14:paraId="7F467A0B">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color w:val="FF0000"/>
          <w:sz w:val="28"/>
          <w:szCs w:val="28"/>
        </w:rPr>
      </w:pPr>
      <w:r>
        <w:rPr>
          <w:rFonts w:hint="eastAsia" w:ascii="宋体" w:hAnsi="宋体" w:eastAsia="宋体" w:cs="宋体"/>
          <w:sz w:val="28"/>
          <w:szCs w:val="28"/>
        </w:rPr>
        <w:t>6.1.3完成时间：</w:t>
      </w:r>
      <w:r>
        <w:rPr>
          <w:rFonts w:hint="eastAsia" w:ascii="宋体" w:hAnsi="宋体" w:eastAsia="宋体" w:cs="宋体"/>
          <w:color w:val="FF0000"/>
          <w:sz w:val="28"/>
          <w:szCs w:val="28"/>
        </w:rPr>
        <w:t>每月1</w:t>
      </w:r>
      <w:r>
        <w:rPr>
          <w:rFonts w:hint="eastAsia" w:ascii="宋体" w:hAnsi="宋体" w:cs="宋体"/>
          <w:color w:val="FF0000"/>
          <w:sz w:val="28"/>
          <w:szCs w:val="28"/>
          <w:lang w:val="en-US" w:eastAsia="zh-CN"/>
        </w:rPr>
        <w:t>0日</w:t>
      </w:r>
      <w:r>
        <w:rPr>
          <w:rFonts w:hint="eastAsia" w:ascii="宋体" w:hAnsi="宋体" w:eastAsia="宋体" w:cs="宋体"/>
          <w:color w:val="FF0000"/>
          <w:sz w:val="28"/>
          <w:szCs w:val="28"/>
        </w:rPr>
        <w:t>出具考核结果</w:t>
      </w:r>
    </w:p>
    <w:p w14:paraId="5F6C4401">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6.1.4考核要求：</w:t>
      </w:r>
    </w:p>
    <w:p w14:paraId="108AD814">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对承运商的绩效考核（包括定期、不定期），可根据公司发展的不同的阶段、每年的不同时段、不同的客户要求，对承运商进行KPI考核进行有针对性的调整。调整的内容和范围包括：</w:t>
      </w:r>
    </w:p>
    <w:p w14:paraId="6206736E">
      <w:pPr>
        <w:keepNext w:val="0"/>
        <w:keepLines w:val="0"/>
        <w:pageBreakBefore w:val="0"/>
        <w:widowControl w:val="0"/>
        <w:numPr>
          <w:ilvl w:val="0"/>
          <w:numId w:val="12"/>
        </w:numPr>
        <w:tabs>
          <w:tab w:val="left" w:pos="840"/>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考核的KPI指标：根据不同情况适当的增加或是减少KPI考核指标，但是进行承运商评定分值时要做好分类，确保考核标准统一。</w:t>
      </w:r>
    </w:p>
    <w:p w14:paraId="430825BA">
      <w:pPr>
        <w:keepNext w:val="0"/>
        <w:keepLines w:val="0"/>
        <w:pageBreakBefore w:val="0"/>
        <w:widowControl w:val="0"/>
        <w:numPr>
          <w:ilvl w:val="0"/>
          <w:numId w:val="12"/>
        </w:numPr>
        <w:tabs>
          <w:tab w:val="left" w:pos="840"/>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考核标准：针对不同情况，对承运商KPI考核的“合格标准”进行调整，根据情况适当加大或是减小考核标准，但是要能够充分的体现承运商真正的运营情况及确保服务品质；</w:t>
      </w:r>
    </w:p>
    <w:p w14:paraId="6A584FCD">
      <w:pPr>
        <w:keepNext w:val="0"/>
        <w:keepLines w:val="0"/>
        <w:pageBreakBefore w:val="0"/>
        <w:widowControl w:val="0"/>
        <w:numPr>
          <w:ilvl w:val="0"/>
          <w:numId w:val="12"/>
        </w:numPr>
        <w:tabs>
          <w:tab w:val="left" w:pos="840"/>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以上调整必须要通过配送部审批同意后方可执行，并且做好相应的记录。</w:t>
      </w:r>
    </w:p>
    <w:p w14:paraId="57D0A6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1"/>
        <w:rPr>
          <w:rFonts w:hint="eastAsia" w:ascii="宋体" w:hAnsi="宋体" w:eastAsia="宋体" w:cs="宋体"/>
          <w:sz w:val="28"/>
          <w:szCs w:val="28"/>
        </w:rPr>
      </w:pPr>
      <w:bookmarkStart w:id="51" w:name="_Toc1773929764"/>
      <w:bookmarkStart w:id="52" w:name="_Toc1048703036"/>
      <w:r>
        <w:rPr>
          <w:rFonts w:hint="eastAsia" w:ascii="宋体" w:hAnsi="宋体" w:eastAsia="宋体" w:cs="宋体"/>
          <w:sz w:val="28"/>
          <w:szCs w:val="28"/>
        </w:rPr>
        <w:t>6</w:t>
      </w:r>
      <w:r>
        <w:rPr>
          <w:rFonts w:hint="eastAsia" w:ascii="宋体" w:hAnsi="宋体" w:eastAsia="宋体" w:cs="宋体"/>
          <w:sz w:val="28"/>
          <w:szCs w:val="28"/>
          <w:lang w:val="en-US" w:eastAsia="zh-Hans"/>
        </w:rPr>
        <w:t>.</w:t>
      </w:r>
      <w:r>
        <w:rPr>
          <w:rFonts w:hint="eastAsia" w:ascii="宋体" w:hAnsi="宋体" w:eastAsia="宋体" w:cs="宋体"/>
          <w:sz w:val="28"/>
          <w:szCs w:val="28"/>
        </w:rPr>
        <w:t>2考核评定流程：</w:t>
      </w:r>
      <w:bookmarkEnd w:id="51"/>
      <w:bookmarkEnd w:id="52"/>
    </w:p>
    <w:p w14:paraId="3103F5CD">
      <w:pPr>
        <w:keepNext w:val="0"/>
        <w:keepLines w:val="0"/>
        <w:pageBreakBefore w:val="0"/>
        <w:widowControl w:val="0"/>
        <w:numPr>
          <w:ilvl w:val="0"/>
          <w:numId w:val="0"/>
        </w:numPr>
        <w:tabs>
          <w:tab w:val="left" w:pos="1060"/>
          <w:tab w:val="left" w:pos="1680"/>
        </w:tabs>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sz w:val="28"/>
          <w:szCs w:val="28"/>
        </w:rPr>
      </w:pPr>
      <w:bookmarkStart w:id="53" w:name="_Toc1153635123"/>
      <w:bookmarkStart w:id="54" w:name="_Toc922072247"/>
      <w:r>
        <w:rPr>
          <w:rFonts w:hint="eastAsia" w:ascii="宋体" w:hAnsi="宋体" w:eastAsia="宋体" w:cs="宋体"/>
          <w:sz w:val="28"/>
          <w:szCs w:val="28"/>
        </w:rPr>
        <w:t>6.2.1承运商运作异常记录表提报：</w:t>
      </w:r>
      <w:bookmarkEnd w:id="53"/>
      <w:bookmarkEnd w:id="54"/>
    </w:p>
    <w:p w14:paraId="1D149415">
      <w:pPr>
        <w:keepNext w:val="0"/>
        <w:keepLines w:val="0"/>
        <w:pageBreakBefore w:val="0"/>
        <w:widowControl w:val="0"/>
        <w:numPr>
          <w:ilvl w:val="0"/>
          <w:numId w:val="13"/>
        </w:numPr>
        <w:tabs>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每周上班第一天12点前各单位将上周承运商的接货、在途、交货、转运、回单返回等各环节的情况及时填入《承运商运作异常记录表》</w:t>
      </w:r>
    </w:p>
    <w:p w14:paraId="02D62610">
      <w:pPr>
        <w:keepNext w:val="0"/>
        <w:keepLines w:val="0"/>
        <w:pageBreakBefore w:val="0"/>
        <w:widowControl w:val="0"/>
        <w:numPr>
          <w:ilvl w:val="0"/>
          <w:numId w:val="13"/>
        </w:numPr>
        <w:tabs>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配送部根据各单位所上报的《承运商运作异常记录表》相关数据进行汇总、分析，并进行分类提报</w:t>
      </w:r>
      <w:r>
        <w:rPr>
          <w:rFonts w:hint="eastAsia" w:ascii="宋体" w:hAnsi="宋体" w:eastAsia="宋体" w:cs="宋体"/>
          <w:sz w:val="28"/>
          <w:szCs w:val="28"/>
          <w:lang w:val="en-US" w:eastAsia="zh-CN"/>
        </w:rPr>
        <w:t>物流</w:t>
      </w:r>
      <w:r>
        <w:rPr>
          <w:rFonts w:hint="eastAsia" w:ascii="宋体" w:hAnsi="宋体" w:eastAsia="宋体" w:cs="宋体"/>
          <w:sz w:val="28"/>
          <w:szCs w:val="28"/>
        </w:rPr>
        <w:t>部总监处；</w:t>
      </w:r>
    </w:p>
    <w:p w14:paraId="47A22187">
      <w:pPr>
        <w:keepNext w:val="0"/>
        <w:keepLines w:val="0"/>
        <w:pageBreakBefore w:val="0"/>
        <w:widowControl w:val="0"/>
        <w:numPr>
          <w:ilvl w:val="0"/>
          <w:numId w:val="13"/>
        </w:numPr>
        <w:tabs>
          <w:tab w:val="clear" w:pos="420"/>
        </w:tabs>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对于每月底最后几天不足一周的情况下,运输调度、客服人员、结算等人员，在本月结束时各地在2个工作日内,将最后几天的承运商运营情况及时上报配送部.</w:t>
      </w:r>
    </w:p>
    <w:p w14:paraId="098B3E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2"/>
        <w:rPr>
          <w:rFonts w:hint="eastAsia" w:ascii="宋体" w:hAnsi="宋体" w:eastAsia="宋体" w:cs="宋体"/>
          <w:sz w:val="28"/>
          <w:szCs w:val="28"/>
          <w:lang w:eastAsia="zh-CN"/>
        </w:rPr>
      </w:pPr>
      <w:bookmarkStart w:id="55" w:name="_Toc1663147145"/>
      <w:bookmarkStart w:id="56" w:name="_Toc1026258577"/>
      <w:r>
        <w:rPr>
          <w:rFonts w:hint="eastAsia" w:ascii="宋体" w:hAnsi="宋体" w:eastAsia="宋体" w:cs="宋体"/>
          <w:sz w:val="28"/>
          <w:szCs w:val="28"/>
        </w:rPr>
        <w:t>6.2.2承运商KPI统计</w:t>
      </w:r>
      <w:bookmarkEnd w:id="55"/>
      <w:bookmarkEnd w:id="56"/>
      <w:r>
        <w:rPr>
          <w:rFonts w:hint="eastAsia" w:ascii="宋体" w:hAnsi="宋体" w:cs="宋体"/>
          <w:sz w:val="28"/>
          <w:szCs w:val="28"/>
          <w:lang w:eastAsia="zh-CN"/>
        </w:rPr>
        <w:t>：</w:t>
      </w:r>
    </w:p>
    <w:p w14:paraId="52936DEA">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每月5日配送部人员将上月承运商运营数据从系统导出，并且在2个工作日完成根据区域对于承运商进行汇总、分析</w:t>
      </w:r>
      <w:r>
        <w:rPr>
          <w:rFonts w:hint="default" w:ascii="宋体" w:hAnsi="宋体" w:eastAsia="宋体" w:cs="宋体"/>
          <w:sz w:val="28"/>
          <w:szCs w:val="28"/>
        </w:rPr>
        <w:t>，</w:t>
      </w:r>
      <w:r>
        <w:rPr>
          <w:rFonts w:hint="eastAsia" w:ascii="宋体" w:hAnsi="宋体" w:eastAsia="宋体" w:cs="宋体"/>
          <w:sz w:val="28"/>
          <w:szCs w:val="28"/>
        </w:rPr>
        <w:t>对于月底仍没有到货物需要进行备注；</w:t>
      </w:r>
    </w:p>
    <w:p w14:paraId="1B58C8C8">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每月7日前</w:t>
      </w:r>
      <w:r>
        <w:rPr>
          <w:rFonts w:hint="eastAsia" w:ascii="宋体" w:hAnsi="宋体" w:eastAsia="宋体" w:cs="宋体"/>
          <w:sz w:val="28"/>
          <w:szCs w:val="28"/>
          <w:lang w:val="en-US" w:eastAsia="zh-Hans"/>
        </w:rPr>
        <w:t>配送</w:t>
      </w:r>
      <w:r>
        <w:rPr>
          <w:rFonts w:hint="eastAsia" w:ascii="宋体" w:hAnsi="宋体" w:eastAsia="宋体" w:cs="宋体"/>
          <w:sz w:val="28"/>
          <w:szCs w:val="28"/>
        </w:rPr>
        <w:t>部完成对各单位提报的《承运商运作异常记录表》和系统中的异常记录进行分析、统计</w:t>
      </w:r>
      <w:r>
        <w:rPr>
          <w:rFonts w:hint="eastAsia" w:ascii="宋体" w:hAnsi="宋体" w:cs="宋体"/>
          <w:sz w:val="28"/>
          <w:szCs w:val="28"/>
          <w:lang w:eastAsia="zh-CN"/>
        </w:rPr>
        <w:t>，</w:t>
      </w:r>
      <w:r>
        <w:rPr>
          <w:rFonts w:hint="eastAsia" w:ascii="宋体" w:hAnsi="宋体" w:eastAsia="宋体" w:cs="宋体"/>
          <w:sz w:val="28"/>
          <w:szCs w:val="28"/>
        </w:rPr>
        <w:t>确定各承运商的KPI考核情况</w:t>
      </w:r>
      <w:r>
        <w:rPr>
          <w:rFonts w:hint="eastAsia" w:ascii="宋体" w:hAnsi="宋体" w:cs="宋体"/>
          <w:sz w:val="28"/>
          <w:szCs w:val="28"/>
          <w:lang w:eastAsia="zh-CN"/>
        </w:rPr>
        <w:t>。</w:t>
      </w:r>
    </w:p>
    <w:p w14:paraId="107B48F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配送部根据当月承运商运营及各地提报的《承运商运作异常记录表》进行汇总对比分析;</w:t>
      </w:r>
    </w:p>
    <w:p w14:paraId="4F875B2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Hans"/>
        </w:rPr>
        <w:t>配送</w:t>
      </w:r>
      <w:r>
        <w:rPr>
          <w:rFonts w:hint="eastAsia" w:ascii="宋体" w:hAnsi="宋体" w:eastAsia="宋体" w:cs="宋体"/>
          <w:sz w:val="28"/>
          <w:szCs w:val="28"/>
        </w:rPr>
        <w:t>部根据本文所规定的KPI考核评分标准进行加减分，从而最终确定各承运商KPI总结分值,并填报《承运商KPI考核表》</w:t>
      </w:r>
    </w:p>
    <w:p w14:paraId="20A22FFB">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根据承运商KPI分值,对承运商进行定期的级别评定（标准见本7.承运商级别标准)，同时根据考核结果填报《承运商KPI考核结果通知书》并通知承运商</w:t>
      </w:r>
      <w:r>
        <w:rPr>
          <w:rFonts w:hint="eastAsia" w:ascii="宋体" w:hAnsi="宋体" w:cs="宋体"/>
          <w:sz w:val="28"/>
          <w:szCs w:val="28"/>
          <w:lang w:eastAsia="zh-CN"/>
        </w:rPr>
        <w:t>；</w:t>
      </w:r>
    </w:p>
    <w:p w14:paraId="10BF2A8C">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right="105" w:rightChars="5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配送部根据各承运商运营KPI考核情况，有针对性的对承运商进行回访和培训指导工作，及对部分承运商进行进级或淘汰处理</w:t>
      </w:r>
      <w:r>
        <w:rPr>
          <w:rFonts w:hint="eastAsia" w:ascii="宋体" w:hAnsi="宋体" w:cs="宋体"/>
          <w:sz w:val="28"/>
          <w:szCs w:val="28"/>
          <w:lang w:eastAsia="zh-CN"/>
        </w:rPr>
        <w:t>；</w:t>
      </w:r>
    </w:p>
    <w:p w14:paraId="56133ED5">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ind w:right="105" w:rightChars="50"/>
        <w:jc w:val="both"/>
        <w:textAlignment w:val="auto"/>
        <w:rPr>
          <w:rFonts w:hint="eastAsia" w:ascii="宋体" w:hAnsi="宋体" w:eastAsia="宋体" w:cs="宋体"/>
          <w:sz w:val="28"/>
          <w:szCs w:val="28"/>
        </w:rPr>
      </w:pPr>
    </w:p>
    <w:p w14:paraId="1A964120">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ind w:right="105" w:rightChars="50"/>
        <w:jc w:val="both"/>
        <w:textAlignment w:val="auto"/>
        <w:rPr>
          <w:rFonts w:hint="eastAsia" w:ascii="宋体" w:hAnsi="宋体" w:eastAsia="宋体" w:cs="宋体"/>
          <w:sz w:val="28"/>
          <w:szCs w:val="28"/>
        </w:rPr>
      </w:pPr>
    </w:p>
    <w:p w14:paraId="00B42493">
      <w:pPr>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ind w:right="105" w:rightChars="50"/>
        <w:jc w:val="both"/>
        <w:textAlignment w:val="auto"/>
        <w:rPr>
          <w:rFonts w:hint="eastAsia" w:ascii="宋体" w:hAnsi="宋体" w:eastAsia="宋体" w:cs="宋体"/>
          <w:sz w:val="28"/>
          <w:szCs w:val="28"/>
        </w:rPr>
      </w:pPr>
    </w:p>
    <w:tbl>
      <w:tblPr>
        <w:tblStyle w:val="10"/>
        <w:tblpPr w:leftFromText="180" w:rightFromText="180" w:vertAnchor="text" w:horzAnchor="page" w:tblpXSpec="center" w:tblpY="615"/>
        <w:tblOverlap w:val="never"/>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2249"/>
        <w:gridCol w:w="2359"/>
        <w:gridCol w:w="1893"/>
        <w:gridCol w:w="3033"/>
      </w:tblGrid>
      <w:tr w14:paraId="70AC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9" w:hRule="atLeast"/>
          <w:jc w:val="center"/>
        </w:trPr>
        <w:tc>
          <w:tcPr>
            <w:tcW w:w="415" w:type="pct"/>
            <w:shd w:val="clear" w:color="auto" w:fill="CCFFCC"/>
            <w:noWrap w:val="0"/>
            <w:vAlign w:val="center"/>
          </w:tcPr>
          <w:p w14:paraId="62743186">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081" w:type="pct"/>
            <w:shd w:val="clear" w:color="auto" w:fill="CCFFCC"/>
            <w:noWrap w:val="0"/>
            <w:vAlign w:val="center"/>
          </w:tcPr>
          <w:p w14:paraId="3EBCA7EA">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考核指标名称</w:t>
            </w:r>
          </w:p>
        </w:tc>
        <w:tc>
          <w:tcPr>
            <w:tcW w:w="1134" w:type="pct"/>
            <w:shd w:val="clear" w:color="auto" w:fill="CCFFCC"/>
            <w:noWrap w:val="0"/>
            <w:vAlign w:val="center"/>
          </w:tcPr>
          <w:p w14:paraId="625001B7">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记录异常的</w:t>
            </w:r>
          </w:p>
          <w:p w14:paraId="63F732F3">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责任部门</w:t>
            </w:r>
          </w:p>
        </w:tc>
        <w:tc>
          <w:tcPr>
            <w:tcW w:w="910" w:type="pct"/>
            <w:shd w:val="clear" w:color="auto" w:fill="CCFFCC"/>
            <w:noWrap w:val="0"/>
            <w:vAlign w:val="center"/>
          </w:tcPr>
          <w:p w14:paraId="6867D98A">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报表跟踪</w:t>
            </w:r>
          </w:p>
          <w:p w14:paraId="3EAAC511">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责任人</w:t>
            </w:r>
          </w:p>
        </w:tc>
        <w:tc>
          <w:tcPr>
            <w:tcW w:w="1458" w:type="pct"/>
            <w:shd w:val="clear" w:color="auto" w:fill="CCFFCC"/>
            <w:noWrap w:val="0"/>
            <w:vAlign w:val="center"/>
          </w:tcPr>
          <w:p w14:paraId="4EAA1B70">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异常提报日</w:t>
            </w:r>
          </w:p>
        </w:tc>
      </w:tr>
      <w:tr w14:paraId="07F8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9" w:hRule="atLeast"/>
          <w:jc w:val="center"/>
        </w:trPr>
        <w:tc>
          <w:tcPr>
            <w:tcW w:w="415" w:type="pct"/>
            <w:noWrap w:val="0"/>
            <w:vAlign w:val="center"/>
          </w:tcPr>
          <w:p w14:paraId="18C3777B">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081" w:type="pct"/>
            <w:noWrap w:val="0"/>
            <w:vAlign w:val="center"/>
          </w:tcPr>
          <w:p w14:paraId="67F50E8F">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宋体" w:hAnsi="宋体" w:eastAsia="宋体" w:cs="宋体"/>
                <w:sz w:val="28"/>
                <w:szCs w:val="28"/>
                <w:lang w:val="en-US" w:eastAsia="zh-Hans"/>
              </w:rPr>
            </w:pPr>
            <w:r>
              <w:rPr>
                <w:rFonts w:hint="eastAsia" w:ascii="宋体" w:hAnsi="宋体" w:eastAsia="宋体" w:cs="宋体"/>
                <w:sz w:val="28"/>
                <w:szCs w:val="28"/>
                <w:lang w:val="en-US" w:eastAsia="zh-Hans"/>
              </w:rPr>
              <w:t>准时率</w:t>
            </w:r>
          </w:p>
        </w:tc>
        <w:tc>
          <w:tcPr>
            <w:tcW w:w="1134" w:type="pct"/>
            <w:noWrap w:val="0"/>
            <w:vAlign w:val="center"/>
          </w:tcPr>
          <w:p w14:paraId="7DECFDC5">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运输调度；</w:t>
            </w:r>
          </w:p>
          <w:p w14:paraId="0185B5CA">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客服；</w:t>
            </w:r>
          </w:p>
        </w:tc>
        <w:tc>
          <w:tcPr>
            <w:tcW w:w="910" w:type="pct"/>
            <w:vMerge w:val="restart"/>
            <w:noWrap w:val="0"/>
            <w:vAlign w:val="center"/>
          </w:tcPr>
          <w:p w14:paraId="54E49FB9">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Hans"/>
              </w:rPr>
              <w:t>出库主管</w:t>
            </w:r>
          </w:p>
          <w:p w14:paraId="3AE0A206">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2）客服主管</w:t>
            </w:r>
          </w:p>
          <w:p w14:paraId="0870C8F2">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3）配送部</w:t>
            </w:r>
          </w:p>
        </w:tc>
        <w:tc>
          <w:tcPr>
            <w:tcW w:w="1458" w:type="pct"/>
            <w:vMerge w:val="restart"/>
            <w:noWrap w:val="0"/>
            <w:vAlign w:val="center"/>
          </w:tcPr>
          <w:p w14:paraId="4961E747">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每周上班第一天12：00分前各单位分别提报上周《承运商运作异常记录表》至配送部</w:t>
            </w:r>
          </w:p>
        </w:tc>
      </w:tr>
      <w:tr w14:paraId="6CAA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9" w:hRule="atLeast"/>
          <w:jc w:val="center"/>
        </w:trPr>
        <w:tc>
          <w:tcPr>
            <w:tcW w:w="415" w:type="pct"/>
            <w:noWrap w:val="0"/>
            <w:vAlign w:val="center"/>
          </w:tcPr>
          <w:p w14:paraId="67D38E16">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081" w:type="pct"/>
            <w:noWrap w:val="0"/>
            <w:vAlign w:val="center"/>
          </w:tcPr>
          <w:p w14:paraId="169F5E07">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破损率</w:t>
            </w:r>
          </w:p>
        </w:tc>
        <w:tc>
          <w:tcPr>
            <w:tcW w:w="1134" w:type="pct"/>
            <w:noWrap w:val="0"/>
            <w:vAlign w:val="center"/>
          </w:tcPr>
          <w:p w14:paraId="71E4C1E0">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客服；</w:t>
            </w:r>
          </w:p>
          <w:p w14:paraId="4CE50F46">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sz w:val="28"/>
                <w:szCs w:val="28"/>
              </w:rPr>
            </w:pPr>
            <w:r>
              <w:rPr>
                <w:rFonts w:hint="eastAsia" w:ascii="宋体" w:hAnsi="宋体" w:eastAsia="宋体" w:cs="宋体"/>
                <w:sz w:val="28"/>
                <w:szCs w:val="28"/>
              </w:rPr>
              <w:t>运输调度；</w:t>
            </w:r>
          </w:p>
        </w:tc>
        <w:tc>
          <w:tcPr>
            <w:tcW w:w="910" w:type="pct"/>
            <w:vMerge w:val="continue"/>
            <w:noWrap w:val="0"/>
            <w:vAlign w:val="center"/>
          </w:tcPr>
          <w:p w14:paraId="4A03D4DE">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560" w:firstLineChars="200"/>
              <w:jc w:val="center"/>
              <w:textAlignment w:val="auto"/>
              <w:rPr>
                <w:rFonts w:hint="eastAsia" w:ascii="宋体" w:hAnsi="宋体" w:eastAsia="宋体" w:cs="宋体"/>
                <w:sz w:val="28"/>
                <w:szCs w:val="28"/>
              </w:rPr>
            </w:pPr>
          </w:p>
        </w:tc>
        <w:tc>
          <w:tcPr>
            <w:tcW w:w="1458" w:type="pct"/>
            <w:vMerge w:val="continue"/>
            <w:noWrap w:val="0"/>
            <w:vAlign w:val="center"/>
          </w:tcPr>
          <w:p w14:paraId="32477AF9">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560" w:firstLineChars="200"/>
              <w:jc w:val="center"/>
              <w:textAlignment w:val="auto"/>
              <w:rPr>
                <w:rFonts w:hint="eastAsia" w:ascii="宋体" w:hAnsi="宋体" w:eastAsia="宋体" w:cs="宋体"/>
                <w:sz w:val="28"/>
                <w:szCs w:val="28"/>
              </w:rPr>
            </w:pPr>
          </w:p>
        </w:tc>
      </w:tr>
      <w:tr w14:paraId="7CA0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8" w:hRule="atLeast"/>
          <w:jc w:val="center"/>
        </w:trPr>
        <w:tc>
          <w:tcPr>
            <w:tcW w:w="415" w:type="pct"/>
            <w:noWrap w:val="0"/>
            <w:vAlign w:val="center"/>
          </w:tcPr>
          <w:p w14:paraId="033F64CD">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081" w:type="pct"/>
            <w:noWrap w:val="0"/>
            <w:vAlign w:val="center"/>
          </w:tcPr>
          <w:p w14:paraId="2AEF69DB">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投诉</w:t>
            </w:r>
            <w:r>
              <w:rPr>
                <w:rFonts w:hint="eastAsia" w:ascii="宋体" w:hAnsi="宋体" w:cs="宋体"/>
                <w:sz w:val="28"/>
                <w:szCs w:val="28"/>
                <w:lang w:val="en-US" w:eastAsia="zh-CN"/>
              </w:rPr>
              <w:t>率</w:t>
            </w:r>
          </w:p>
        </w:tc>
        <w:tc>
          <w:tcPr>
            <w:tcW w:w="1134" w:type="pct"/>
            <w:noWrap w:val="0"/>
            <w:vAlign w:val="center"/>
          </w:tcPr>
          <w:p w14:paraId="7EC21351">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105" w:rightChars="5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运输调度；</w:t>
            </w:r>
          </w:p>
          <w:p w14:paraId="58507529">
            <w:pPr>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105" w:rightChars="5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客服；</w:t>
            </w:r>
          </w:p>
        </w:tc>
        <w:tc>
          <w:tcPr>
            <w:tcW w:w="910" w:type="pct"/>
            <w:vMerge w:val="continue"/>
            <w:noWrap w:val="0"/>
            <w:vAlign w:val="center"/>
          </w:tcPr>
          <w:p w14:paraId="1B612997">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560" w:firstLineChars="200"/>
              <w:jc w:val="center"/>
              <w:textAlignment w:val="auto"/>
              <w:rPr>
                <w:rFonts w:hint="eastAsia" w:ascii="宋体" w:hAnsi="宋体" w:eastAsia="宋体" w:cs="宋体"/>
                <w:sz w:val="28"/>
                <w:szCs w:val="28"/>
              </w:rPr>
            </w:pPr>
          </w:p>
        </w:tc>
        <w:tc>
          <w:tcPr>
            <w:tcW w:w="1458" w:type="pct"/>
            <w:vMerge w:val="continue"/>
            <w:noWrap w:val="0"/>
            <w:vAlign w:val="center"/>
          </w:tcPr>
          <w:p w14:paraId="0C27A6BD">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560" w:firstLineChars="200"/>
              <w:jc w:val="center"/>
              <w:textAlignment w:val="auto"/>
              <w:rPr>
                <w:rFonts w:hint="eastAsia" w:ascii="宋体" w:hAnsi="宋体" w:eastAsia="宋体" w:cs="宋体"/>
                <w:sz w:val="28"/>
                <w:szCs w:val="28"/>
              </w:rPr>
            </w:pPr>
          </w:p>
        </w:tc>
      </w:tr>
    </w:tbl>
    <w:p w14:paraId="63F20711">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560" w:firstLineChars="200"/>
        <w:textAlignment w:val="auto"/>
        <w:rPr>
          <w:rFonts w:hint="eastAsia" w:ascii="宋体" w:hAnsi="宋体" w:eastAsia="宋体" w:cs="宋体"/>
          <w:sz w:val="28"/>
          <w:szCs w:val="28"/>
        </w:rPr>
      </w:pPr>
      <w:bookmarkStart w:id="57" w:name="_Toc1886734582"/>
      <w:bookmarkStart w:id="58" w:name="_Toc866916663"/>
      <w:r>
        <w:rPr>
          <w:rFonts w:hint="eastAsia" w:ascii="宋体" w:hAnsi="宋体" w:eastAsia="宋体" w:cs="宋体"/>
          <w:sz w:val="28"/>
          <w:szCs w:val="28"/>
        </w:rPr>
        <w:t>6.2.3承运商KPI指标提报责任部门</w:t>
      </w:r>
      <w:bookmarkEnd w:id="57"/>
      <w:bookmarkEnd w:id="58"/>
      <w:r>
        <w:rPr>
          <w:rFonts w:hint="eastAsia" w:ascii="宋体" w:hAnsi="宋体" w:cs="宋体"/>
          <w:sz w:val="28"/>
          <w:szCs w:val="28"/>
          <w:lang w:eastAsia="zh-CN"/>
        </w:rPr>
        <w:t>，</w:t>
      </w:r>
      <w:r>
        <w:rPr>
          <w:rFonts w:hint="eastAsia" w:ascii="宋体" w:hAnsi="宋体" w:eastAsia="宋体" w:cs="宋体"/>
          <w:sz w:val="28"/>
          <w:szCs w:val="28"/>
        </w:rPr>
        <w:t>根据KPI考核评定的总分值将承运商分成如下等级。</w:t>
      </w:r>
    </w:p>
    <w:tbl>
      <w:tblPr>
        <w:tblStyle w:val="10"/>
        <w:tblpPr w:leftFromText="180" w:rightFromText="180" w:vertAnchor="text" w:horzAnchor="page" w:tblpX="1060" w:tblpY="561"/>
        <w:tblOverlap w:val="never"/>
        <w:tblW w:w="10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760"/>
        <w:gridCol w:w="1203"/>
        <w:gridCol w:w="5441"/>
      </w:tblGrid>
      <w:tr w14:paraId="1CF2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shd w:val="clear" w:color="auto" w:fill="CCFFCC"/>
            <w:noWrap w:val="0"/>
            <w:vAlign w:val="bottom"/>
          </w:tcPr>
          <w:p w14:paraId="0693CA07">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760" w:type="dxa"/>
            <w:shd w:val="clear" w:color="auto" w:fill="CCFFCC"/>
            <w:noWrap w:val="0"/>
            <w:vAlign w:val="bottom"/>
          </w:tcPr>
          <w:p w14:paraId="3E639F6A">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4"/>
                <w:szCs w:val="24"/>
              </w:rPr>
            </w:pPr>
            <w:r>
              <w:rPr>
                <w:rFonts w:hint="eastAsia" w:ascii="宋体" w:hAnsi="宋体" w:eastAsia="宋体" w:cs="宋体"/>
                <w:sz w:val="24"/>
                <w:szCs w:val="24"/>
              </w:rPr>
              <w:t>分值</w:t>
            </w:r>
          </w:p>
        </w:tc>
        <w:tc>
          <w:tcPr>
            <w:tcW w:w="1203" w:type="dxa"/>
            <w:shd w:val="clear" w:color="auto" w:fill="CCFFCC"/>
            <w:noWrap w:val="0"/>
            <w:vAlign w:val="bottom"/>
          </w:tcPr>
          <w:p w14:paraId="4C6D6944">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eastAsia" w:ascii="宋体" w:hAnsi="宋体" w:eastAsia="宋体" w:cs="宋体"/>
                <w:sz w:val="24"/>
                <w:szCs w:val="24"/>
              </w:rPr>
            </w:pPr>
            <w:r>
              <w:rPr>
                <w:rFonts w:hint="eastAsia" w:ascii="宋体" w:hAnsi="宋体" w:eastAsia="宋体" w:cs="宋体"/>
                <w:sz w:val="24"/>
                <w:szCs w:val="24"/>
              </w:rPr>
              <w:t>等级</w:t>
            </w:r>
          </w:p>
        </w:tc>
        <w:tc>
          <w:tcPr>
            <w:tcW w:w="5441" w:type="dxa"/>
            <w:shd w:val="clear" w:color="auto" w:fill="CCFFCC"/>
            <w:noWrap w:val="0"/>
            <w:vAlign w:val="bottom"/>
          </w:tcPr>
          <w:p w14:paraId="204E1A1F">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奖惩标准</w:t>
            </w:r>
          </w:p>
        </w:tc>
      </w:tr>
      <w:tr w14:paraId="3C30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noWrap w:val="0"/>
            <w:vAlign w:val="center"/>
          </w:tcPr>
          <w:p w14:paraId="2F81E7AE">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1</w:t>
            </w:r>
          </w:p>
        </w:tc>
        <w:tc>
          <w:tcPr>
            <w:tcW w:w="2760" w:type="dxa"/>
            <w:noWrap w:val="0"/>
            <w:vAlign w:val="center"/>
          </w:tcPr>
          <w:p w14:paraId="0F107CD2">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总分≥95分</w:t>
            </w:r>
          </w:p>
        </w:tc>
        <w:tc>
          <w:tcPr>
            <w:tcW w:w="1203" w:type="dxa"/>
            <w:noWrap w:val="0"/>
            <w:vAlign w:val="center"/>
          </w:tcPr>
          <w:p w14:paraId="3DB29586">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A级</w:t>
            </w:r>
          </w:p>
        </w:tc>
        <w:tc>
          <w:tcPr>
            <w:tcW w:w="5441" w:type="dxa"/>
            <w:noWrap w:val="0"/>
            <w:vAlign w:val="center"/>
          </w:tcPr>
          <w:p w14:paraId="451C0F0A">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适当扩大合作范围、增加货运量;适当考虑缩短结款期</w:t>
            </w:r>
          </w:p>
        </w:tc>
      </w:tr>
      <w:tr w14:paraId="5F1D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noWrap w:val="0"/>
            <w:vAlign w:val="center"/>
          </w:tcPr>
          <w:p w14:paraId="3B75D00C">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2</w:t>
            </w:r>
          </w:p>
        </w:tc>
        <w:tc>
          <w:tcPr>
            <w:tcW w:w="2760" w:type="dxa"/>
            <w:noWrap w:val="0"/>
            <w:vAlign w:val="center"/>
          </w:tcPr>
          <w:p w14:paraId="19A681DE">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85分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总分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95分</w:t>
            </w:r>
          </w:p>
        </w:tc>
        <w:tc>
          <w:tcPr>
            <w:tcW w:w="1203" w:type="dxa"/>
            <w:noWrap w:val="0"/>
            <w:vAlign w:val="center"/>
          </w:tcPr>
          <w:p w14:paraId="6EEDA861">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B级</w:t>
            </w:r>
          </w:p>
        </w:tc>
        <w:tc>
          <w:tcPr>
            <w:tcW w:w="5441" w:type="dxa"/>
            <w:noWrap w:val="0"/>
            <w:vAlign w:val="center"/>
          </w:tcPr>
          <w:p w14:paraId="674E47BA">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保持现有服务水平,期待更优运作质量</w:t>
            </w:r>
          </w:p>
        </w:tc>
      </w:tr>
      <w:tr w14:paraId="1E1B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noWrap w:val="0"/>
            <w:vAlign w:val="center"/>
          </w:tcPr>
          <w:p w14:paraId="2FEFC0E0">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3</w:t>
            </w:r>
          </w:p>
        </w:tc>
        <w:tc>
          <w:tcPr>
            <w:tcW w:w="2760" w:type="dxa"/>
            <w:noWrap w:val="0"/>
            <w:vAlign w:val="center"/>
          </w:tcPr>
          <w:p w14:paraId="07FB1147">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75分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总分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85分</w:t>
            </w:r>
          </w:p>
        </w:tc>
        <w:tc>
          <w:tcPr>
            <w:tcW w:w="1203" w:type="dxa"/>
            <w:noWrap w:val="0"/>
            <w:vAlign w:val="center"/>
          </w:tcPr>
          <w:p w14:paraId="5443912E">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C级</w:t>
            </w:r>
          </w:p>
        </w:tc>
        <w:tc>
          <w:tcPr>
            <w:tcW w:w="5441" w:type="dxa"/>
            <w:noWrap w:val="0"/>
            <w:vAlign w:val="center"/>
          </w:tcPr>
          <w:p w14:paraId="4105E8A9">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采用减少货量，直至承运商的运营和服务质量得到明显的改善;</w:t>
            </w:r>
          </w:p>
        </w:tc>
      </w:tr>
      <w:tr w14:paraId="5717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noWrap w:val="0"/>
            <w:vAlign w:val="center"/>
          </w:tcPr>
          <w:p w14:paraId="1A5C5B20">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4</w:t>
            </w:r>
          </w:p>
        </w:tc>
        <w:tc>
          <w:tcPr>
            <w:tcW w:w="2760" w:type="dxa"/>
            <w:noWrap w:val="0"/>
            <w:vAlign w:val="center"/>
          </w:tcPr>
          <w:p w14:paraId="0539B139">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65分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总分</w:t>
            </w:r>
            <w:r>
              <w:rPr>
                <w:rFonts w:hint="eastAsia" w:ascii="PingFang SC" w:hAnsi="PingFang SC" w:eastAsia="PingFang SC" w:cs="PingFang SC"/>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75分</w:t>
            </w:r>
          </w:p>
        </w:tc>
        <w:tc>
          <w:tcPr>
            <w:tcW w:w="1203" w:type="dxa"/>
            <w:noWrap w:val="0"/>
            <w:vAlign w:val="center"/>
          </w:tcPr>
          <w:p w14:paraId="36C8ED42">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D级</w:t>
            </w:r>
          </w:p>
        </w:tc>
        <w:tc>
          <w:tcPr>
            <w:tcW w:w="5441" w:type="dxa"/>
            <w:noWrap w:val="0"/>
            <w:vAlign w:val="center"/>
          </w:tcPr>
          <w:p w14:paraId="705F556F">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暂停发货</w:t>
            </w:r>
            <w:r>
              <w:rPr>
                <w:rFonts w:hint="default" w:ascii="宋体" w:hAnsi="宋体" w:cs="宋体"/>
                <w:color w:val="4472C4" w:themeColor="accent5"/>
                <w:sz w:val="24"/>
                <w:szCs w:val="24"/>
                <w14:textFill>
                  <w14:solidFill>
                    <w14:schemeClr w14:val="accent5"/>
                  </w14:solidFill>
                </w14:textFill>
              </w:rPr>
              <w:t>，</w:t>
            </w:r>
            <w:r>
              <w:rPr>
                <w:rFonts w:hint="eastAsia" w:ascii="宋体" w:hAnsi="宋体" w:eastAsia="宋体" w:cs="宋体"/>
                <w:color w:val="4472C4" w:themeColor="accent5"/>
                <w:sz w:val="24"/>
                <w:szCs w:val="24"/>
                <w14:textFill>
                  <w14:solidFill>
                    <w14:schemeClr w14:val="accent5"/>
                  </w14:solidFill>
                </w14:textFill>
              </w:rPr>
              <w:t>要求提供承运商服务整改方案，并且限期进行整改</w:t>
            </w:r>
          </w:p>
        </w:tc>
      </w:tr>
      <w:tr w14:paraId="24ED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15" w:type="dxa"/>
            <w:noWrap w:val="0"/>
            <w:vAlign w:val="center"/>
          </w:tcPr>
          <w:p w14:paraId="11B7A20B">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5</w:t>
            </w:r>
          </w:p>
        </w:tc>
        <w:tc>
          <w:tcPr>
            <w:tcW w:w="2760" w:type="dxa"/>
            <w:noWrap w:val="0"/>
            <w:vAlign w:val="center"/>
          </w:tcPr>
          <w:p w14:paraId="14BA9CA9">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65分＞总分</w:t>
            </w:r>
          </w:p>
        </w:tc>
        <w:tc>
          <w:tcPr>
            <w:tcW w:w="1203" w:type="dxa"/>
            <w:noWrap w:val="0"/>
            <w:vAlign w:val="center"/>
          </w:tcPr>
          <w:p w14:paraId="0179074D">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淘汰</w:t>
            </w:r>
          </w:p>
        </w:tc>
        <w:tc>
          <w:tcPr>
            <w:tcW w:w="5441" w:type="dxa"/>
            <w:noWrap w:val="0"/>
            <w:vAlign w:val="center"/>
          </w:tcPr>
          <w:p w14:paraId="7B9EFF3C">
            <w:pPr>
              <w:keepNext w:val="0"/>
              <w:keepLines w:val="0"/>
              <w:pageBreakBefore w:val="0"/>
              <w:widowControl w:val="0"/>
              <w:kinsoku/>
              <w:wordWrap/>
              <w:overflowPunct/>
              <w:topLinePunct w:val="0"/>
              <w:autoSpaceDE/>
              <w:autoSpaceDN/>
              <w:bidi w:val="0"/>
              <w:adjustRightInd/>
              <w:snapToGrid/>
              <w:spacing w:line="360" w:lineRule="auto"/>
              <w:ind w:right="105" w:rightChars="50"/>
              <w:jc w:val="center"/>
              <w:textAlignment w:val="auto"/>
              <w:rPr>
                <w:rFonts w:hint="eastAsia" w:ascii="宋体" w:hAnsi="宋体" w:eastAsia="宋体" w:cs="宋体"/>
                <w:color w:val="4472C4" w:themeColor="accent5"/>
                <w:sz w:val="24"/>
                <w:szCs w:val="24"/>
                <w14:textFill>
                  <w14:solidFill>
                    <w14:schemeClr w14:val="accent5"/>
                  </w14:solidFill>
                </w14:textFill>
              </w:rPr>
            </w:pPr>
            <w:r>
              <w:rPr>
                <w:rFonts w:hint="eastAsia" w:ascii="宋体" w:hAnsi="宋体" w:eastAsia="宋体" w:cs="宋体"/>
                <w:color w:val="4472C4" w:themeColor="accent5"/>
                <w:sz w:val="24"/>
                <w:szCs w:val="24"/>
                <w14:textFill>
                  <w14:solidFill>
                    <w14:schemeClr w14:val="accent5"/>
                  </w14:solidFill>
                </w14:textFill>
              </w:rPr>
              <w:t>根据其对公司经营状况的影响程度，进行淘汰处理;</w:t>
            </w:r>
          </w:p>
        </w:tc>
      </w:tr>
    </w:tbl>
    <w:p w14:paraId="4FE6F4F5">
      <w:pPr>
        <w:keepNext w:val="0"/>
        <w:keepLines w:val="0"/>
        <w:pageBreakBefore w:val="0"/>
        <w:widowControl w:val="0"/>
        <w:numPr>
          <w:ilvl w:val="0"/>
          <w:numId w:val="0"/>
        </w:numPr>
        <w:tabs>
          <w:tab w:val="left" w:pos="1480"/>
        </w:tabs>
        <w:kinsoku/>
        <w:wordWrap/>
        <w:overflowPunct/>
        <w:topLinePunct w:val="0"/>
        <w:autoSpaceDE/>
        <w:autoSpaceDN/>
        <w:bidi w:val="0"/>
        <w:adjustRightInd/>
        <w:snapToGrid/>
        <w:spacing w:line="240" w:lineRule="auto"/>
        <w:ind w:right="0" w:rightChars="0"/>
        <w:jc w:val="both"/>
        <w:textAlignment w:val="auto"/>
        <w:outlineLvl w:val="2"/>
        <w:rPr>
          <w:rFonts w:hint="eastAsia" w:ascii="宋体" w:hAnsi="宋体" w:eastAsia="宋体" w:cs="宋体"/>
          <w:sz w:val="28"/>
          <w:szCs w:val="28"/>
        </w:rPr>
      </w:pPr>
    </w:p>
    <w:p w14:paraId="152038A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right="105" w:rightChars="50" w:firstLine="560" w:firstLineChars="200"/>
        <w:textAlignment w:val="auto"/>
        <w:outlineLvl w:val="0"/>
        <w:rPr>
          <w:rFonts w:hint="default" w:ascii="宋体" w:hAnsi="宋体" w:cs="宋体"/>
          <w:color w:val="0000FF"/>
          <w:sz w:val="28"/>
          <w:szCs w:val="28"/>
          <w:lang w:eastAsia="zh-Hans"/>
        </w:rPr>
      </w:pPr>
      <w:bookmarkStart w:id="59" w:name="_Toc1739293793"/>
      <w:bookmarkStart w:id="60" w:name="_Toc604588072"/>
      <w:r>
        <w:rPr>
          <w:rFonts w:hint="eastAsia" w:ascii="宋体" w:hAnsi="宋体" w:eastAsia="宋体" w:cs="宋体"/>
          <w:sz w:val="28"/>
          <w:szCs w:val="28"/>
        </w:rPr>
        <w:t>承运商KPI考核标准</w:t>
      </w:r>
      <w:bookmarkEnd w:id="59"/>
      <w:bookmarkEnd w:id="60"/>
      <w:bookmarkStart w:id="61" w:name="_Toc224705856"/>
      <w:bookmarkStart w:id="62" w:name="_Toc224702946"/>
    </w:p>
    <w:p w14:paraId="1FCE1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5" w:rightChars="50"/>
        <w:textAlignment w:val="auto"/>
        <w:rPr>
          <w:rFonts w:hint="default" w:ascii="宋体" w:hAnsi="宋体" w:cs="宋体"/>
          <w:color w:val="0000FF"/>
          <w:sz w:val="28"/>
          <w:szCs w:val="28"/>
          <w:lang w:eastAsia="zh-Hans"/>
        </w:rPr>
      </w:pPr>
      <w:r>
        <w:rPr>
          <w:rFonts w:hint="eastAsia" w:ascii="宋体" w:hAnsi="宋体" w:eastAsia="宋体" w:cs="宋体"/>
          <w:color w:val="0000FF"/>
          <w:sz w:val="28"/>
          <w:szCs w:val="28"/>
          <w:lang w:val="en-US" w:eastAsia="zh-CN"/>
        </w:rPr>
        <w:t>承运商KPI考核表</w:t>
      </w:r>
      <w:r>
        <w:rPr>
          <w:rFonts w:hint="eastAsia" w:ascii="宋体" w:hAnsi="宋体" w:cs="宋体"/>
          <w:color w:val="0000FF"/>
          <w:sz w:val="28"/>
          <w:szCs w:val="28"/>
          <w:lang w:val="en-US" w:eastAsia="zh-CN"/>
        </w:rPr>
        <w:t>（示例）</w:t>
      </w:r>
    </w:p>
    <w:bookmarkEnd w:id="61"/>
    <w:bookmarkEnd w:id="62"/>
    <w:p w14:paraId="2A97AC17">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rPr>
      </w:pPr>
      <w:r>
        <w:drawing>
          <wp:inline distT="0" distB="0" distL="114300" distR="114300">
            <wp:extent cx="6389370" cy="6661150"/>
            <wp:effectExtent l="0" t="0" r="11430" b="190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389370" cy="6661150"/>
                    </a:xfrm>
                    <a:prstGeom prst="rect">
                      <a:avLst/>
                    </a:prstGeom>
                    <a:noFill/>
                    <a:ln>
                      <a:noFill/>
                    </a:ln>
                  </pic:spPr>
                </pic:pic>
              </a:graphicData>
            </a:graphic>
          </wp:inline>
        </w:drawing>
      </w:r>
    </w:p>
    <w:p w14:paraId="365D82E2">
      <w:pPr>
        <w:numPr>
          <w:ilvl w:val="0"/>
          <w:numId w:val="0"/>
        </w:numPr>
        <w:ind w:leftChars="0"/>
        <w:rPr>
          <w:rFonts w:hint="eastAsia" w:ascii="宋体" w:hAnsi="宋体" w:cs="宋体"/>
          <w:sz w:val="28"/>
          <w:szCs w:val="28"/>
          <w:lang w:val="en-US" w:eastAsia="zh-CN"/>
        </w:rPr>
      </w:pPr>
      <w:bookmarkStart w:id="63" w:name="_GoBack"/>
      <w:bookmarkEnd w:id="63"/>
    </w:p>
    <w:p w14:paraId="7B4CF594">
      <w:pPr>
        <w:numPr>
          <w:ilvl w:val="0"/>
          <w:numId w:val="0"/>
        </w:numPr>
        <w:ind w:leftChars="0"/>
        <w:jc w:val="right"/>
        <w:rPr>
          <w:rFonts w:hint="eastAsia" w:ascii="宋体" w:hAnsi="宋体" w:cs="宋体"/>
          <w:sz w:val="28"/>
          <w:szCs w:val="28"/>
          <w:lang w:val="en-US" w:eastAsia="zh-CN"/>
        </w:rPr>
      </w:pPr>
      <w:r>
        <w:rPr>
          <w:rFonts w:hint="eastAsia" w:ascii="宋体" w:hAnsi="宋体" w:cs="宋体"/>
          <w:sz w:val="28"/>
          <w:szCs w:val="28"/>
          <w:lang w:val="en-US" w:eastAsia="zh-CN"/>
        </w:rPr>
        <w:t>2025年1月</w:t>
      </w:r>
    </w:p>
    <w:p w14:paraId="30A10BCF">
      <w:pPr>
        <w:numPr>
          <w:ilvl w:val="0"/>
          <w:numId w:val="0"/>
        </w:numPr>
        <w:ind w:leftChars="0"/>
        <w:jc w:val="right"/>
        <w:rPr>
          <w:rFonts w:hint="default" w:ascii="宋体" w:hAnsi="宋体" w:cs="宋体"/>
          <w:sz w:val="28"/>
          <w:szCs w:val="28"/>
          <w:lang w:val="en-US" w:eastAsia="zh-CN"/>
        </w:rPr>
      </w:pPr>
      <w:r>
        <w:rPr>
          <w:rFonts w:hint="eastAsia" w:ascii="宋体" w:hAnsi="宋体" w:cs="宋体"/>
          <w:sz w:val="28"/>
          <w:szCs w:val="28"/>
          <w:lang w:val="en-US" w:eastAsia="zh-CN"/>
        </w:rPr>
        <w:t>四川蓉志楚远供应链管理有限公司</w:t>
      </w:r>
    </w:p>
    <w:sectPr>
      <w:headerReference r:id="rId3" w:type="default"/>
      <w:footerReference r:id="rId4" w:type="default"/>
      <w:pgSz w:w="11906" w:h="16838"/>
      <w:pgMar w:top="1440" w:right="846" w:bottom="1440" w:left="9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A39D2">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83F3F">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183F3F">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05AD3">
                          <w:pPr>
                            <w:pStyle w:val="5"/>
                            <w:rPr>
                              <w:rFonts w:ascii="微软雅黑" w:hAnsi="微软雅黑" w:eastAsia="微软雅黑" w:cs="微软雅黑"/>
                              <w:b/>
                              <w:bCs/>
                              <w:sz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0E05AD3">
                    <w:pPr>
                      <w:pStyle w:val="5"/>
                      <w:rPr>
                        <w:rFonts w:ascii="微软雅黑" w:hAnsi="微软雅黑" w:eastAsia="微软雅黑" w:cs="微软雅黑"/>
                        <w:b/>
                        <w:bCs/>
                        <w:sz w:val="24"/>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E6020">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3E6020">
                    <w:pPr>
                      <w:pStyle w:val="5"/>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969F2">
    <w:pPr>
      <w:pStyle w:val="6"/>
      <w:rPr>
        <w:rFonts w:eastAsiaTheme="minorEastAsia"/>
      </w:rPr>
    </w:pPr>
    <w:r>
      <w:rPr>
        <w:rFonts w:hint="eastAsia" w:eastAsiaTheme="minorEastAsia"/>
      </w:rPr>
      <w:drawing>
        <wp:anchor distT="0" distB="0" distL="114300" distR="114300" simplePos="0" relativeHeight="251660288" behindDoc="1" locked="0" layoutInCell="1" allowOverlap="1">
          <wp:simplePos x="0" y="0"/>
          <wp:positionH relativeFrom="column">
            <wp:posOffset>5074920</wp:posOffset>
          </wp:positionH>
          <wp:positionV relativeFrom="paragraph">
            <wp:posOffset>-354965</wp:posOffset>
          </wp:positionV>
          <wp:extent cx="748030" cy="394335"/>
          <wp:effectExtent l="0" t="0" r="13970" b="1905"/>
          <wp:wrapTight wrapText="bothSides">
            <wp:wrapPolygon>
              <wp:start x="15842" y="0"/>
              <wp:lineTo x="2640" y="2504"/>
              <wp:lineTo x="0" y="5009"/>
              <wp:lineTo x="0" y="20035"/>
              <wp:lineTo x="440" y="20870"/>
              <wp:lineTo x="9241" y="20870"/>
              <wp:lineTo x="13642" y="20870"/>
              <wp:lineTo x="19363" y="16696"/>
              <wp:lineTo x="18923" y="13357"/>
              <wp:lineTo x="21123" y="9183"/>
              <wp:lineTo x="21123" y="4174"/>
              <wp:lineTo x="20243" y="0"/>
              <wp:lineTo x="15842" y="0"/>
            </wp:wrapPolygon>
          </wp:wrapTight>
          <wp:docPr id="4" name="图片 4" descr="微信图片_20210331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230054"/>
                  <pic:cNvPicPr>
                    <a:picLocks noChangeAspect="1"/>
                  </pic:cNvPicPr>
                </pic:nvPicPr>
                <pic:blipFill>
                  <a:blip r:embed="rId1"/>
                  <a:stretch>
                    <a:fillRect/>
                  </a:stretch>
                </pic:blipFill>
                <pic:spPr>
                  <a:xfrm>
                    <a:off x="0" y="0"/>
                    <a:ext cx="748030" cy="394335"/>
                  </a:xfrm>
                  <a:prstGeom prst="rect">
                    <a:avLst/>
                  </a:prstGeom>
                </pic:spPr>
              </pic:pic>
            </a:graphicData>
          </a:graphic>
        </wp:anchor>
      </w:drawing>
    </w:r>
    <w:r>
      <w:drawing>
        <wp:anchor distT="0" distB="0" distL="114300" distR="114300" simplePos="0" relativeHeight="251663360" behindDoc="1" locked="0" layoutInCell="1" allowOverlap="1">
          <wp:simplePos x="0" y="0"/>
          <wp:positionH relativeFrom="margin">
            <wp:posOffset>-1149350</wp:posOffset>
          </wp:positionH>
          <wp:positionV relativeFrom="margin">
            <wp:posOffset>-916305</wp:posOffset>
          </wp:positionV>
          <wp:extent cx="7559040" cy="10692130"/>
          <wp:effectExtent l="0" t="0" r="0" b="6350"/>
          <wp:wrapNone/>
          <wp:docPr id="28" name="WordPictureWatermark2440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244049" descr="未标题-1"/>
                  <pic:cNvPicPr>
                    <a:picLocks noChangeAspect="1"/>
                  </pic:cNvPicPr>
                </pic:nvPicPr>
                <pic:blipFill>
                  <a:blip r:embed="rId2"/>
                  <a:stretch>
                    <a:fillRect/>
                  </a:stretch>
                </pic:blipFill>
                <pic:spPr>
                  <a:xfrm>
                    <a:off x="0" y="0"/>
                    <a:ext cx="7559040" cy="10692130"/>
                  </a:xfrm>
                  <a:prstGeom prst="rect">
                    <a:avLst/>
                  </a:prstGeom>
                  <a:noFill/>
                  <a:ln>
                    <a:noFill/>
                  </a:ln>
                </pic:spPr>
              </pic:pic>
            </a:graphicData>
          </a:graphic>
        </wp:anchor>
      </w:drawing>
    </w:r>
    <w:r>
      <w:rPr>
        <w:rFonts w:hint="eastAsia" w:eastAsiaTheme="minorEastAsia"/>
      </w:rPr>
      <w:drawing>
        <wp:anchor distT="0" distB="0" distL="114300" distR="114300" simplePos="0" relativeHeight="251659264" behindDoc="1" locked="0" layoutInCell="1" allowOverlap="1">
          <wp:simplePos x="0" y="0"/>
          <wp:positionH relativeFrom="column">
            <wp:posOffset>-838835</wp:posOffset>
          </wp:positionH>
          <wp:positionV relativeFrom="paragraph">
            <wp:posOffset>-352425</wp:posOffset>
          </wp:positionV>
          <wp:extent cx="1370330" cy="310515"/>
          <wp:effectExtent l="0" t="0" r="1270" b="9525"/>
          <wp:wrapTight wrapText="bothSides">
            <wp:wrapPolygon>
              <wp:start x="0" y="0"/>
              <wp:lineTo x="0" y="16962"/>
              <wp:lineTo x="480" y="20142"/>
              <wp:lineTo x="3363" y="20142"/>
              <wp:lineTo x="17776" y="19082"/>
              <wp:lineTo x="21380" y="13782"/>
              <wp:lineTo x="21380" y="4240"/>
              <wp:lineTo x="1441" y="0"/>
              <wp:lineTo x="0" y="0"/>
            </wp:wrapPolygon>
          </wp:wrapTight>
          <wp:docPr id="3" name="图片 3" descr="微信图片_202103312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230043"/>
                  <pic:cNvPicPr>
                    <a:picLocks noChangeAspect="1"/>
                  </pic:cNvPicPr>
                </pic:nvPicPr>
                <pic:blipFill>
                  <a:blip r:embed="rId3"/>
                  <a:stretch>
                    <a:fillRect/>
                  </a:stretch>
                </pic:blipFill>
                <pic:spPr>
                  <a:xfrm>
                    <a:off x="0" y="0"/>
                    <a:ext cx="1370330" cy="3105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A549F"/>
    <w:multiLevelType w:val="singleLevel"/>
    <w:tmpl w:val="BEFA549F"/>
    <w:lvl w:ilvl="0" w:tentative="0">
      <w:start w:val="1"/>
      <w:numFmt w:val="upperLetter"/>
      <w:lvlText w:val="%1."/>
      <w:lvlJc w:val="left"/>
      <w:pPr>
        <w:tabs>
          <w:tab w:val="left" w:pos="420"/>
        </w:tabs>
        <w:ind w:left="845" w:hanging="425"/>
      </w:pPr>
      <w:rPr>
        <w:rFonts w:hint="default"/>
      </w:rPr>
    </w:lvl>
  </w:abstractNum>
  <w:abstractNum w:abstractNumId="1">
    <w:nsid w:val="CA175829"/>
    <w:multiLevelType w:val="singleLevel"/>
    <w:tmpl w:val="CA175829"/>
    <w:lvl w:ilvl="0" w:tentative="0">
      <w:start w:val="7"/>
      <w:numFmt w:val="decimal"/>
      <w:suff w:val="nothing"/>
      <w:lvlText w:val="%1．"/>
      <w:lvlJc w:val="left"/>
      <w:pPr>
        <w:ind w:left="0" w:firstLine="403"/>
      </w:pPr>
      <w:rPr>
        <w:rFonts w:hint="default"/>
      </w:rPr>
    </w:lvl>
  </w:abstractNum>
  <w:abstractNum w:abstractNumId="2">
    <w:nsid w:val="CA9DE7EB"/>
    <w:multiLevelType w:val="singleLevel"/>
    <w:tmpl w:val="CA9DE7EB"/>
    <w:lvl w:ilvl="0" w:tentative="0">
      <w:start w:val="6"/>
      <w:numFmt w:val="decimal"/>
      <w:suff w:val="nothing"/>
      <w:lvlText w:val="%1．"/>
      <w:lvlJc w:val="left"/>
      <w:pPr>
        <w:ind w:left="420" w:firstLine="403"/>
      </w:pPr>
      <w:rPr>
        <w:rFonts w:hint="default"/>
      </w:rPr>
    </w:lvl>
  </w:abstractNum>
  <w:abstractNum w:abstractNumId="3">
    <w:nsid w:val="D83225CC"/>
    <w:multiLevelType w:val="singleLevel"/>
    <w:tmpl w:val="D83225CC"/>
    <w:lvl w:ilvl="0" w:tentative="0">
      <w:start w:val="1"/>
      <w:numFmt w:val="decimal"/>
      <w:lvlText w:val="%1)"/>
      <w:lvlJc w:val="left"/>
      <w:pPr>
        <w:tabs>
          <w:tab w:val="left" w:pos="420"/>
        </w:tabs>
        <w:ind w:left="845" w:hanging="425"/>
      </w:pPr>
      <w:rPr>
        <w:rFonts w:hint="default"/>
      </w:rPr>
    </w:lvl>
  </w:abstractNum>
  <w:abstractNum w:abstractNumId="4">
    <w:nsid w:val="DBBBCDF3"/>
    <w:multiLevelType w:val="singleLevel"/>
    <w:tmpl w:val="DBBBCDF3"/>
    <w:lvl w:ilvl="0" w:tentative="0">
      <w:start w:val="2"/>
      <w:numFmt w:val="decimal"/>
      <w:lvlText w:val="%1)"/>
      <w:lvlJc w:val="left"/>
      <w:pPr>
        <w:tabs>
          <w:tab w:val="left" w:pos="817"/>
        </w:tabs>
        <w:ind w:left="874" w:leftChars="0" w:hanging="454" w:firstLineChars="0"/>
      </w:pPr>
      <w:rPr>
        <w:rFonts w:hint="default"/>
      </w:rPr>
    </w:lvl>
  </w:abstractNum>
  <w:abstractNum w:abstractNumId="5">
    <w:nsid w:val="EA3E1E68"/>
    <w:multiLevelType w:val="singleLevel"/>
    <w:tmpl w:val="EA3E1E68"/>
    <w:lvl w:ilvl="0" w:tentative="0">
      <w:start w:val="1"/>
      <w:numFmt w:val="upperLetter"/>
      <w:lvlText w:val="%1."/>
      <w:lvlJc w:val="left"/>
      <w:pPr>
        <w:tabs>
          <w:tab w:val="left" w:pos="420"/>
        </w:tabs>
        <w:ind w:left="845" w:hanging="425"/>
      </w:pPr>
      <w:rPr>
        <w:rFonts w:hint="default"/>
      </w:rPr>
    </w:lvl>
  </w:abstractNum>
  <w:abstractNum w:abstractNumId="6">
    <w:nsid w:val="EDBECEA5"/>
    <w:multiLevelType w:val="singleLevel"/>
    <w:tmpl w:val="EDBECEA5"/>
    <w:lvl w:ilvl="0" w:tentative="0">
      <w:start w:val="1"/>
      <w:numFmt w:val="decimal"/>
      <w:lvlText w:val="%1)"/>
      <w:lvlJc w:val="left"/>
      <w:pPr>
        <w:tabs>
          <w:tab w:val="left" w:pos="840"/>
        </w:tabs>
        <w:ind w:left="1265" w:hanging="425"/>
      </w:pPr>
      <w:rPr>
        <w:rFonts w:hint="default"/>
      </w:rPr>
    </w:lvl>
  </w:abstractNum>
  <w:abstractNum w:abstractNumId="7">
    <w:nsid w:val="EF3E4850"/>
    <w:multiLevelType w:val="singleLevel"/>
    <w:tmpl w:val="EF3E4850"/>
    <w:lvl w:ilvl="0" w:tentative="0">
      <w:start w:val="1"/>
      <w:numFmt w:val="decimal"/>
      <w:lvlText w:val="%1)"/>
      <w:lvlJc w:val="left"/>
      <w:pPr>
        <w:tabs>
          <w:tab w:val="left" w:pos="0"/>
        </w:tabs>
        <w:ind w:left="425" w:hanging="425"/>
      </w:pPr>
      <w:rPr>
        <w:rFonts w:hint="default"/>
      </w:rPr>
    </w:lvl>
  </w:abstractNum>
  <w:abstractNum w:abstractNumId="8">
    <w:nsid w:val="EF7B69E6"/>
    <w:multiLevelType w:val="singleLevel"/>
    <w:tmpl w:val="EF7B69E6"/>
    <w:lvl w:ilvl="0" w:tentative="0">
      <w:start w:val="1"/>
      <w:numFmt w:val="decimal"/>
      <w:suff w:val="nothing"/>
      <w:lvlText w:val="%1．"/>
      <w:lvlJc w:val="left"/>
      <w:pPr>
        <w:ind w:left="0" w:firstLine="400"/>
      </w:pPr>
      <w:rPr>
        <w:rFonts w:hint="default"/>
      </w:rPr>
    </w:lvl>
  </w:abstractNum>
  <w:abstractNum w:abstractNumId="9">
    <w:nsid w:val="EFCE7F20"/>
    <w:multiLevelType w:val="singleLevel"/>
    <w:tmpl w:val="EFCE7F20"/>
    <w:lvl w:ilvl="0" w:tentative="0">
      <w:start w:val="2"/>
      <w:numFmt w:val="decimal"/>
      <w:lvlText w:val="%1)"/>
      <w:lvlJc w:val="left"/>
      <w:pPr>
        <w:tabs>
          <w:tab w:val="left" w:pos="817"/>
        </w:tabs>
        <w:ind w:left="874" w:hanging="454"/>
      </w:pPr>
      <w:rPr>
        <w:rFonts w:hint="default"/>
      </w:rPr>
    </w:lvl>
  </w:abstractNum>
  <w:abstractNum w:abstractNumId="10">
    <w:nsid w:val="F3AEFA3B"/>
    <w:multiLevelType w:val="singleLevel"/>
    <w:tmpl w:val="F3AEFA3B"/>
    <w:lvl w:ilvl="0" w:tentative="0">
      <w:start w:val="1"/>
      <w:numFmt w:val="decimal"/>
      <w:lvlText w:val="%1)"/>
      <w:lvlJc w:val="left"/>
      <w:pPr>
        <w:tabs>
          <w:tab w:val="left" w:pos="840"/>
        </w:tabs>
        <w:ind w:left="1265" w:hanging="425"/>
      </w:pPr>
      <w:rPr>
        <w:rFonts w:hint="default"/>
      </w:rPr>
    </w:lvl>
  </w:abstractNum>
  <w:abstractNum w:abstractNumId="11">
    <w:nsid w:val="F6FA6D21"/>
    <w:multiLevelType w:val="singleLevel"/>
    <w:tmpl w:val="F6FA6D21"/>
    <w:lvl w:ilvl="0" w:tentative="0">
      <w:start w:val="1"/>
      <w:numFmt w:val="decimal"/>
      <w:suff w:val="nothing"/>
      <w:lvlText w:val="%1）"/>
      <w:lvlJc w:val="left"/>
    </w:lvl>
  </w:abstractNum>
  <w:abstractNum w:abstractNumId="12">
    <w:nsid w:val="FD3C5959"/>
    <w:multiLevelType w:val="singleLevel"/>
    <w:tmpl w:val="FD3C5959"/>
    <w:lvl w:ilvl="0" w:tentative="0">
      <w:start w:val="1"/>
      <w:numFmt w:val="decimal"/>
      <w:lvlText w:val="%1)"/>
      <w:lvlJc w:val="left"/>
      <w:pPr>
        <w:tabs>
          <w:tab w:val="left" w:pos="840"/>
        </w:tabs>
        <w:ind w:left="1265" w:hanging="425"/>
      </w:pPr>
      <w:rPr>
        <w:rFonts w:hint="default"/>
      </w:rPr>
    </w:lvl>
  </w:abstractNum>
  <w:abstractNum w:abstractNumId="13">
    <w:nsid w:val="FFFF26B3"/>
    <w:multiLevelType w:val="singleLevel"/>
    <w:tmpl w:val="FFFF26B3"/>
    <w:lvl w:ilvl="0" w:tentative="0">
      <w:start w:val="1"/>
      <w:numFmt w:val="decimal"/>
      <w:lvlText w:val="%1)"/>
      <w:lvlJc w:val="left"/>
      <w:pPr>
        <w:tabs>
          <w:tab w:val="left" w:pos="420"/>
        </w:tabs>
        <w:ind w:left="845" w:hanging="425"/>
      </w:pPr>
      <w:rPr>
        <w:rFonts w:hint="default"/>
      </w:rPr>
    </w:lvl>
  </w:abstractNum>
  <w:abstractNum w:abstractNumId="14">
    <w:nsid w:val="6EEDBE88"/>
    <w:multiLevelType w:val="singleLevel"/>
    <w:tmpl w:val="6EEDBE88"/>
    <w:lvl w:ilvl="0" w:tentative="0">
      <w:start w:val="1"/>
      <w:numFmt w:val="decimal"/>
      <w:suff w:val="nothing"/>
      <w:lvlText w:val="%1）"/>
      <w:lvlJc w:val="left"/>
    </w:lvl>
  </w:abstractNum>
  <w:abstractNum w:abstractNumId="15">
    <w:nsid w:val="7B7FB3B8"/>
    <w:multiLevelType w:val="singleLevel"/>
    <w:tmpl w:val="7B7FB3B8"/>
    <w:lvl w:ilvl="0" w:tentative="0">
      <w:start w:val="1"/>
      <w:numFmt w:val="decimal"/>
      <w:lvlText w:val="%1)"/>
      <w:lvlJc w:val="left"/>
      <w:pPr>
        <w:tabs>
          <w:tab w:val="left" w:pos="312"/>
        </w:tabs>
      </w:pPr>
    </w:lvl>
  </w:abstractNum>
  <w:abstractNum w:abstractNumId="16">
    <w:nsid w:val="7DE72DE1"/>
    <w:multiLevelType w:val="singleLevel"/>
    <w:tmpl w:val="7DE72DE1"/>
    <w:lvl w:ilvl="0" w:tentative="0">
      <w:start w:val="1"/>
      <w:numFmt w:val="decimal"/>
      <w:lvlText w:val="%1)"/>
      <w:lvlJc w:val="left"/>
      <w:pPr>
        <w:tabs>
          <w:tab w:val="left" w:pos="817"/>
        </w:tabs>
        <w:ind w:left="874" w:leftChars="0" w:hanging="454" w:firstLineChars="0"/>
      </w:pPr>
      <w:rPr>
        <w:rFonts w:hint="default"/>
      </w:rPr>
    </w:lvl>
  </w:abstractNum>
  <w:abstractNum w:abstractNumId="17">
    <w:nsid w:val="7FE242EC"/>
    <w:multiLevelType w:val="singleLevel"/>
    <w:tmpl w:val="7FE242EC"/>
    <w:lvl w:ilvl="0" w:tentative="0">
      <w:start w:val="1"/>
      <w:numFmt w:val="decimal"/>
      <w:lvlText w:val="%1)"/>
      <w:lvlJc w:val="left"/>
      <w:pPr>
        <w:tabs>
          <w:tab w:val="left" w:pos="420"/>
        </w:tabs>
        <w:ind w:left="845" w:hanging="425"/>
      </w:pPr>
      <w:rPr>
        <w:rFonts w:hint="default"/>
      </w:rPr>
    </w:lvl>
  </w:abstractNum>
  <w:num w:numId="1">
    <w:abstractNumId w:val="8"/>
  </w:num>
  <w:num w:numId="2">
    <w:abstractNumId w:val="7"/>
  </w:num>
  <w:num w:numId="3">
    <w:abstractNumId w:val="6"/>
  </w:num>
  <w:num w:numId="4">
    <w:abstractNumId w:val="12"/>
  </w:num>
  <w:num w:numId="5">
    <w:abstractNumId w:val="3"/>
  </w:num>
  <w:num w:numId="6">
    <w:abstractNumId w:val="9"/>
  </w:num>
  <w:num w:numId="7">
    <w:abstractNumId w:val="16"/>
  </w:num>
  <w:num w:numId="8">
    <w:abstractNumId w:val="0"/>
  </w:num>
  <w:num w:numId="9">
    <w:abstractNumId w:val="5"/>
  </w:num>
  <w:num w:numId="10">
    <w:abstractNumId w:val="4"/>
  </w:num>
  <w:num w:numId="11">
    <w:abstractNumId w:val="2"/>
  </w:num>
  <w:num w:numId="12">
    <w:abstractNumId w:val="13"/>
  </w:num>
  <w:num w:numId="13">
    <w:abstractNumId w:val="17"/>
  </w:num>
  <w:num w:numId="14">
    <w:abstractNumId w:val="10"/>
  </w:num>
  <w:num w:numId="15">
    <w:abstractNumId w:val="11"/>
  </w:num>
  <w:num w:numId="16">
    <w:abstractNumId w:val="14"/>
  </w:num>
  <w:num w:numId="17">
    <w:abstractNumId w:val="15"/>
  </w:num>
  <w:num w:numId="1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l00153">
    <w15:presenceInfo w15:providerId="None" w15:userId="bl00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5Zjc3MGQ2MTExZTc3YTBlNmVkYTRmNTRlNjc5YjUifQ=="/>
  </w:docVars>
  <w:rsids>
    <w:rsidRoot w:val="1C935697"/>
    <w:rsid w:val="07EAC8EC"/>
    <w:rsid w:val="125B3A4B"/>
    <w:rsid w:val="169E3BF4"/>
    <w:rsid w:val="17BEBC40"/>
    <w:rsid w:val="1C935697"/>
    <w:rsid w:val="1D3EB716"/>
    <w:rsid w:val="1FFFFF70"/>
    <w:rsid w:val="26E7D480"/>
    <w:rsid w:val="2BF04CA6"/>
    <w:rsid w:val="2C1D2D14"/>
    <w:rsid w:val="2EDD4731"/>
    <w:rsid w:val="2F68192A"/>
    <w:rsid w:val="2FF388B9"/>
    <w:rsid w:val="2FFF2A2D"/>
    <w:rsid w:val="35FFCA09"/>
    <w:rsid w:val="3AB79362"/>
    <w:rsid w:val="3B9A6F3B"/>
    <w:rsid w:val="3E971BD1"/>
    <w:rsid w:val="3EF785C4"/>
    <w:rsid w:val="3F7E04B5"/>
    <w:rsid w:val="3FAB967A"/>
    <w:rsid w:val="3FB33361"/>
    <w:rsid w:val="3FC549B1"/>
    <w:rsid w:val="3FCFD42E"/>
    <w:rsid w:val="3FE6FEEB"/>
    <w:rsid w:val="3FFE6866"/>
    <w:rsid w:val="3FFFA0F4"/>
    <w:rsid w:val="423503B9"/>
    <w:rsid w:val="4ECF66BE"/>
    <w:rsid w:val="4EED17AA"/>
    <w:rsid w:val="555EB3B9"/>
    <w:rsid w:val="57BD2A65"/>
    <w:rsid w:val="59DBB251"/>
    <w:rsid w:val="5CF754B5"/>
    <w:rsid w:val="5DB91FED"/>
    <w:rsid w:val="5F6F8678"/>
    <w:rsid w:val="5FDF569F"/>
    <w:rsid w:val="5FEE3F4B"/>
    <w:rsid w:val="63DD5FCF"/>
    <w:rsid w:val="67FB47FC"/>
    <w:rsid w:val="69FA4442"/>
    <w:rsid w:val="6DFF39B3"/>
    <w:rsid w:val="6E62134D"/>
    <w:rsid w:val="6F5E67DB"/>
    <w:rsid w:val="6FBBDCEC"/>
    <w:rsid w:val="6FE71D50"/>
    <w:rsid w:val="79CF99C9"/>
    <w:rsid w:val="79EB6D2E"/>
    <w:rsid w:val="7AA24AAE"/>
    <w:rsid w:val="7AED577A"/>
    <w:rsid w:val="7B7F37AC"/>
    <w:rsid w:val="7BBFF3B1"/>
    <w:rsid w:val="7CB7FD4A"/>
    <w:rsid w:val="7DB7B823"/>
    <w:rsid w:val="7DFF490E"/>
    <w:rsid w:val="7EDCE667"/>
    <w:rsid w:val="7EFE1C71"/>
    <w:rsid w:val="7F270FE0"/>
    <w:rsid w:val="7F3F96E8"/>
    <w:rsid w:val="7F5B3B13"/>
    <w:rsid w:val="7F7FF41C"/>
    <w:rsid w:val="7FB97656"/>
    <w:rsid w:val="7FDF7CC8"/>
    <w:rsid w:val="7FEF8FF5"/>
    <w:rsid w:val="8D9C2127"/>
    <w:rsid w:val="96D7ACEB"/>
    <w:rsid w:val="AF559BC9"/>
    <w:rsid w:val="AFCFF2A6"/>
    <w:rsid w:val="B6BFCEA1"/>
    <w:rsid w:val="B7FEAF4F"/>
    <w:rsid w:val="BEE6C122"/>
    <w:rsid w:val="BEFFE599"/>
    <w:rsid w:val="BFBFF947"/>
    <w:rsid w:val="CBED7751"/>
    <w:rsid w:val="CBFD1BC6"/>
    <w:rsid w:val="D1BBD608"/>
    <w:rsid w:val="D3BFA3D3"/>
    <w:rsid w:val="D5CA8FE0"/>
    <w:rsid w:val="D67F3ACA"/>
    <w:rsid w:val="DDFBDC7D"/>
    <w:rsid w:val="DDFD521F"/>
    <w:rsid w:val="DEFF9378"/>
    <w:rsid w:val="DEFFCBDC"/>
    <w:rsid w:val="E1BF515C"/>
    <w:rsid w:val="E2BEAFD0"/>
    <w:rsid w:val="E4FEB633"/>
    <w:rsid w:val="E5F7963D"/>
    <w:rsid w:val="E7D792B9"/>
    <w:rsid w:val="EB15D163"/>
    <w:rsid w:val="EF10EF03"/>
    <w:rsid w:val="EF5137F1"/>
    <w:rsid w:val="F5FF94E6"/>
    <w:rsid w:val="F7B6F140"/>
    <w:rsid w:val="F7DB90F1"/>
    <w:rsid w:val="F7FBB738"/>
    <w:rsid w:val="F7FEFDB6"/>
    <w:rsid w:val="F85CF58F"/>
    <w:rsid w:val="FAE7BCE7"/>
    <w:rsid w:val="FAF7C857"/>
    <w:rsid w:val="FCFF70C0"/>
    <w:rsid w:val="FDAFDF05"/>
    <w:rsid w:val="FDEF175C"/>
    <w:rsid w:val="FE4EF919"/>
    <w:rsid w:val="FF57683E"/>
    <w:rsid w:val="FF677B0C"/>
    <w:rsid w:val="FF8BA4D9"/>
    <w:rsid w:val="FFBBAA59"/>
    <w:rsid w:val="FFE53B47"/>
    <w:rsid w:val="FFEB17ED"/>
    <w:rsid w:val="FFED9C85"/>
    <w:rsid w:val="FFEF8793"/>
    <w:rsid w:val="FFFEA331"/>
    <w:rsid w:val="FFFF7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 w:type="paragraph" w:customStyle="1" w:styleId="1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759</Words>
  <Characters>791</Characters>
  <Lines>0</Lines>
  <Paragraphs>0</Paragraphs>
  <TotalTime>17</TotalTime>
  <ScaleCrop>false</ScaleCrop>
  <LinksUpToDate>false</LinksUpToDate>
  <CharactersWithSpaces>798</CharactersWithSpaces>
  <Application>WPS Office_6.15.1.8935_F1E327BC-269C-435d-A152-05C5408002CA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2022-11-20T09:14:00Z</dcterms:created>
  <dc:creator>时阿哥</dc:creator>
  <cp:lastModifiedBy>好青年</cp:lastModifiedBy>
  <dcterms:modified xsi:type="dcterms:W3CDTF">2025-01-26T14:47:52Z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2052-6.15.1.8935</vt:lpwstr>
  </property>
  <property fmtid="{D5CDD505-2E9C-101B-9397-08002B2CF9AE}" pid="3" name="ICV">
    <vt:lpwstr>DEC542330111386F2003F065668BDFD6_43</vt:lpwstr>
  </property>
</Properties>
</file>